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02417" w14:textId="77777777" w:rsidR="00A30617" w:rsidRPr="00607EA5" w:rsidRDefault="00A30617" w:rsidP="00A30617">
      <w:pPr>
        <w:spacing w:after="0" w:line="240" w:lineRule="auto"/>
        <w:jc w:val="right"/>
        <w:rPr>
          <w:rFonts w:ascii="Times New Roman" w:hAnsi="Times New Roman"/>
          <w:b/>
          <w:sz w:val="22"/>
        </w:rPr>
      </w:pPr>
      <w:r w:rsidRPr="00607EA5">
        <w:rPr>
          <w:rFonts w:ascii="Times New Roman" w:hAnsi="Times New Roman"/>
          <w:b/>
          <w:sz w:val="22"/>
        </w:rPr>
        <w:t>Załącznik nr 7 do Umowy</w:t>
      </w:r>
    </w:p>
    <w:p w14:paraId="79C5339C" w14:textId="77777777" w:rsidR="00A30617" w:rsidRPr="00596B44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D59DCCA" w14:textId="77777777" w:rsidR="00A30617" w:rsidRPr="00607EA5" w:rsidRDefault="00A30617" w:rsidP="00A30617">
      <w:pPr>
        <w:spacing w:after="0" w:line="240" w:lineRule="auto"/>
        <w:jc w:val="center"/>
        <w:rPr>
          <w:rFonts w:ascii="Times New Roman" w:hAnsi="Times New Roman"/>
          <w:b/>
          <w:sz w:val="22"/>
        </w:rPr>
      </w:pPr>
      <w:r w:rsidRPr="00607EA5">
        <w:rPr>
          <w:rFonts w:ascii="Times New Roman" w:hAnsi="Times New Roman"/>
          <w:b/>
          <w:sz w:val="22"/>
        </w:rPr>
        <w:t>MECHANIZM WYNAGRODZENIA</w:t>
      </w:r>
    </w:p>
    <w:p w14:paraId="1B77E144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109A3CD" w14:textId="77777777" w:rsidR="00A30617" w:rsidRPr="00607EA5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596B4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607EA5">
        <w:rPr>
          <w:rFonts w:ascii="Times New Roman" w:hAnsi="Times New Roman"/>
          <w:b/>
          <w:sz w:val="22"/>
        </w:rPr>
        <w:t>1. DEFINICJE</w:t>
      </w:r>
    </w:p>
    <w:p w14:paraId="49DDCEDB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D558A2A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Wszelkie terminy pisane wielką literą a niezdefiniowane w niniejszym Załączniku nr 7 mają znaczenie nadane im w §1 ust. 2 Umowy.</w:t>
      </w:r>
    </w:p>
    <w:p w14:paraId="35A24899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C7D92B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7EA5">
        <w:rPr>
          <w:rFonts w:ascii="Times New Roman" w:hAnsi="Times New Roman"/>
          <w:b/>
          <w:sz w:val="22"/>
        </w:rPr>
        <w:t>Budynki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Placówki Oświatowe wraz z przypisanymi do nich punktami poboru energii elektrycznej (PPE) oraz punktami poboru gazu (dalej łącznie: „Punkty Poboru”).</w:t>
      </w:r>
    </w:p>
    <w:p w14:paraId="66E31A50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1756B25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7EA5">
        <w:rPr>
          <w:rFonts w:ascii="Times New Roman" w:hAnsi="Times New Roman"/>
          <w:b/>
          <w:sz w:val="22"/>
        </w:rPr>
        <w:t>Okres Rozliczeniowy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miesiąc kalendarzowy.</w:t>
      </w:r>
    </w:p>
    <w:p w14:paraId="009C3C7E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4C95D48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7EA5">
        <w:rPr>
          <w:rFonts w:ascii="Times New Roman" w:hAnsi="Times New Roman"/>
          <w:b/>
          <w:sz w:val="22"/>
        </w:rPr>
        <w:t>Rok Umowny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kolejne 12 miesięcy obowiązywania Umowy licząc od dnia </w:t>
      </w:r>
      <w:r>
        <w:rPr>
          <w:rFonts w:ascii="Times New Roman" w:hAnsi="Times New Roman" w:cs="Times New Roman"/>
          <w:sz w:val="22"/>
          <w:szCs w:val="22"/>
        </w:rPr>
        <w:t>startu realizacji Fazy 2</w:t>
      </w:r>
      <w:r w:rsidRPr="00DD16C0">
        <w:rPr>
          <w:rFonts w:ascii="Times New Roman" w:hAnsi="Times New Roman" w:cs="Times New Roman"/>
          <w:sz w:val="22"/>
          <w:szCs w:val="22"/>
        </w:rPr>
        <w:t>; każdy Rok Umowny dzieli się na 12 Okresów Rozliczeniowych.</w:t>
      </w:r>
    </w:p>
    <w:p w14:paraId="3C0C4CC7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EEA476A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7EA5">
        <w:rPr>
          <w:rFonts w:ascii="Times New Roman" w:hAnsi="Times New Roman"/>
          <w:b/>
          <w:sz w:val="22"/>
        </w:rPr>
        <w:t>X</w:t>
      </w:r>
      <w:r w:rsidRPr="00607EA5">
        <w:rPr>
          <w:rFonts w:ascii="Times New Roman" w:hAnsi="Times New Roman"/>
          <w:b/>
          <w:sz w:val="22"/>
          <w:vertAlign w:val="subscript"/>
        </w:rPr>
        <w:t>1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całkowity, udokumentowany koszt Zamawiającego (energia elektryczna, dystrybucja energii elektrycznej, gaz – sprzedaż i dystrybucja/transport) za wszystkie Budynki łącznie, poniesiony w okresie 12 kolejnych miesięcy poprzedzających zawarcie Umowy, zgodnie z fakturami pierwotnymi od sprzedawców i operatorów systemów w okresie od _____ do _____</w:t>
      </w:r>
      <w:r>
        <w:rPr>
          <w:rFonts w:ascii="Times New Roman" w:hAnsi="Times New Roman" w:cs="Times New Roman"/>
          <w:sz w:val="22"/>
          <w:szCs w:val="22"/>
        </w:rPr>
        <w:t xml:space="preserve"> [</w:t>
      </w:r>
      <w:r w:rsidRPr="00A14310">
        <w:rPr>
          <w:rFonts w:ascii="Times New Roman" w:hAnsi="Times New Roman" w:cs="Times New Roman"/>
          <w:sz w:val="22"/>
          <w:szCs w:val="22"/>
          <w:highlight w:val="yellow"/>
        </w:rPr>
        <w:t>dane wykorzystane do Audytów</w:t>
      </w:r>
      <w:r>
        <w:rPr>
          <w:rFonts w:ascii="Times New Roman" w:hAnsi="Times New Roman" w:cs="Times New Roman"/>
          <w:sz w:val="22"/>
          <w:szCs w:val="22"/>
        </w:rPr>
        <w:t>]</w:t>
      </w:r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3CC29549" w14:textId="77777777" w:rsidR="00A30617" w:rsidRPr="00607EA5" w:rsidRDefault="00A30617" w:rsidP="00A30617">
      <w:pPr>
        <w:spacing w:after="0" w:line="240" w:lineRule="auto"/>
        <w:jc w:val="both"/>
        <w:rPr>
          <w:rFonts w:ascii="Times New Roman" w:hAnsi="Times New Roman"/>
          <w:sz w:val="22"/>
          <w:highlight w:val="yellow"/>
        </w:rPr>
      </w:pPr>
    </w:p>
    <w:p w14:paraId="0FE5DAF4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4310">
        <w:rPr>
          <w:rFonts w:ascii="Times New Roman" w:hAnsi="Times New Roman" w:cs="Times New Roman"/>
          <w:b/>
          <w:bCs/>
          <w:sz w:val="22"/>
          <w:szCs w:val="22"/>
        </w:rPr>
        <w:t>X</w:t>
      </w:r>
      <w:r w:rsidRPr="00A14310">
        <w:rPr>
          <w:rFonts w:ascii="Times New Roman" w:hAnsi="Times New Roman"/>
          <w:b/>
          <w:bCs/>
          <w:sz w:val="22"/>
          <w:vertAlign w:val="subscript"/>
        </w:rPr>
        <w:t>2</w:t>
      </w:r>
      <w:r w:rsidRPr="00DD16C0">
        <w:rPr>
          <w:rFonts w:ascii="Times New Roman" w:hAnsi="Times New Roman" w:cs="Times New Roman"/>
          <w:sz w:val="22"/>
          <w:szCs w:val="22"/>
        </w:rPr>
        <w:t xml:space="preserve"> - całkowity, udokumentowany koszt Zamawiającego związany z utrzymaniem, serwisem oraz naprawami urządzeń będących przedmiotem najmu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00D766C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F84AE0E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4D21AA14">
        <w:rPr>
          <w:rFonts w:ascii="Times New Roman" w:hAnsi="Times New Roman"/>
          <w:b/>
          <w:sz w:val="22"/>
          <w:szCs w:val="22"/>
        </w:rPr>
        <w:t>Limit Roczny (Cap</w:t>
      </w:r>
      <w:r w:rsidRPr="00596B44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Pr="00596B44">
        <w:rPr>
          <w:rFonts w:ascii="Times New Roman" w:hAnsi="Times New Roman" w:cs="Times New Roman"/>
          <w:sz w:val="22"/>
          <w:szCs w:val="22"/>
        </w:rPr>
        <w:t>–</w:t>
      </w:r>
      <w:r w:rsidRPr="00DD16C0">
        <w:rPr>
          <w:rFonts w:ascii="Times New Roman" w:hAnsi="Times New Roman" w:cs="Times New Roman"/>
          <w:sz w:val="22"/>
          <w:szCs w:val="22"/>
        </w:rPr>
        <w:t xml:space="preserve"> kwota równa iloczynowi wskaźnika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W_x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określonego w Ofercie oraz całkowitych, udokumentowanych kosztów Zamawiającego (X</w:t>
      </w:r>
      <w:r w:rsidRPr="4D21AA14">
        <w:rPr>
          <w:rFonts w:ascii="Times New Roman" w:hAnsi="Times New Roman"/>
          <w:sz w:val="22"/>
          <w:szCs w:val="22"/>
          <w:vertAlign w:val="subscript"/>
        </w:rPr>
        <w:t>1</w:t>
      </w:r>
      <w:r w:rsidRPr="00DD16C0">
        <w:rPr>
          <w:rFonts w:ascii="Times New Roman" w:hAnsi="Times New Roman" w:cs="Times New Roman"/>
          <w:sz w:val="22"/>
          <w:szCs w:val="22"/>
        </w:rPr>
        <w:t xml:space="preserve">), powiększona o koszty utrzymania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DD16C0">
        <w:rPr>
          <w:rFonts w:ascii="Times New Roman" w:hAnsi="Times New Roman" w:cs="Times New Roman"/>
          <w:sz w:val="22"/>
          <w:szCs w:val="22"/>
        </w:rPr>
        <w:t>X</w:t>
      </w:r>
      <w:r w:rsidRPr="4D21AA14"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sz w:val="22"/>
          <w:szCs w:val="22"/>
        </w:rPr>
        <w:t>)</w:t>
      </w:r>
      <w:r w:rsidRPr="4D21AA14">
        <w:rPr>
          <w:rFonts w:ascii="Times New Roman" w:hAnsi="Times New Roman"/>
          <w:sz w:val="22"/>
          <w:szCs w:val="22"/>
          <w:vertAlign w:val="subscript"/>
        </w:rPr>
        <w:t xml:space="preserve">, </w:t>
      </w:r>
      <w:r w:rsidRPr="00DD16C0">
        <w:rPr>
          <w:rFonts w:ascii="Times New Roman" w:hAnsi="Times New Roman" w:cs="Times New Roman"/>
          <w:sz w:val="22"/>
          <w:szCs w:val="22"/>
        </w:rPr>
        <w:t>stanowiąca roczną wartość referencyjną służącą alokacji Capₘ i obliczaniu Fₘ zgodnie z §3</w:t>
      </w:r>
      <w:r>
        <w:rPr>
          <w:rFonts w:ascii="Times New Roman" w:hAnsi="Times New Roman" w:cs="Times New Roman"/>
          <w:sz w:val="22"/>
          <w:szCs w:val="22"/>
        </w:rPr>
        <w:t xml:space="preserve"> poniżej.</w:t>
      </w:r>
      <w:r w:rsidRPr="00DD16C0">
        <w:rPr>
          <w:rFonts w:ascii="Times New Roman" w:hAnsi="Times New Roman" w:cs="Times New Roman"/>
          <w:sz w:val="22"/>
          <w:szCs w:val="22"/>
        </w:rPr>
        <w:t xml:space="preserve"> </w:t>
      </w:r>
      <w:r w:rsidRPr="4D21AA14"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4D21AA14">
        <w:rPr>
          <w:rFonts w:ascii="Times New Roman" w:hAnsi="Times New Roman" w:cs="Times New Roman"/>
          <w:sz w:val="22"/>
          <w:szCs w:val="22"/>
        </w:rPr>
        <w:t>przypadku</w:t>
      </w:r>
      <w:r>
        <w:rPr>
          <w:rFonts w:ascii="Times New Roman" w:hAnsi="Times New Roman" w:cs="Times New Roman"/>
          <w:sz w:val="22"/>
          <w:szCs w:val="22"/>
        </w:rPr>
        <w:t>,</w:t>
      </w:r>
      <w:r w:rsidRPr="4D21AA14">
        <w:rPr>
          <w:rFonts w:ascii="Times New Roman" w:hAnsi="Times New Roman" w:cs="Times New Roman"/>
          <w:sz w:val="22"/>
          <w:szCs w:val="22"/>
        </w:rPr>
        <w:t xml:space="preserve"> gdy suma Miesięcznych Kosztów Energii w Roku Umownym jest wyższa niż Górna Granica Tolerancji,</w:t>
      </w:r>
      <w:r w:rsidRPr="00DD16C0">
        <w:rPr>
          <w:rFonts w:ascii="Times New Roman" w:hAnsi="Times New Roman" w:cs="Times New Roman"/>
          <w:sz w:val="22"/>
          <w:szCs w:val="22"/>
        </w:rPr>
        <w:t xml:space="preserve"> stosuje się §4</w:t>
      </w:r>
      <w:r>
        <w:rPr>
          <w:rFonts w:ascii="Times New Roman" w:hAnsi="Times New Roman" w:cs="Times New Roman"/>
          <w:sz w:val="22"/>
          <w:szCs w:val="22"/>
        </w:rPr>
        <w:t xml:space="preserve"> poniżej</w:t>
      </w:r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401617FE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2AA348A3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4D21AA14">
        <w:rPr>
          <w:rFonts w:ascii="Times New Roman" w:hAnsi="Times New Roman"/>
          <w:b/>
          <w:sz w:val="22"/>
          <w:szCs w:val="22"/>
        </w:rPr>
        <w:t xml:space="preserve">Miesięczne Koszty Energii </w:t>
      </w:r>
      <w:r w:rsidRPr="00DD16C0">
        <w:rPr>
          <w:rFonts w:ascii="Times New Roman" w:hAnsi="Times New Roman" w:cs="Times New Roman"/>
          <w:sz w:val="22"/>
          <w:szCs w:val="22"/>
        </w:rPr>
        <w:t>(Em</w:t>
      </w:r>
      <w:r w:rsidRPr="00596B44">
        <w:rPr>
          <w:rFonts w:ascii="Times New Roman" w:hAnsi="Times New Roman" w:cs="Times New Roman"/>
          <w:sz w:val="22"/>
          <w:szCs w:val="22"/>
        </w:rPr>
        <w:t>)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łączna kwota wszystkich należności od Zamawiającego z tytułu energii elektrycznej, opłat dystrybucyjnych, gazu oraz opłat sieciowych/ustawowych za wszystkie Budynki w Okresie Rozliczeniowym, odpowiadająca dokładnie (1:1) kwotom na fakturach pierwotnych wystawionych przez właściwych sprzedawców i operatorów, obejmująca podatki i opłaty publiczne wykazane na tych fakturach.</w:t>
      </w:r>
      <w:r w:rsidRPr="4D21AA14">
        <w:rPr>
          <w:rFonts w:ascii="Times New Roman" w:hAnsi="Times New Roman" w:cs="Times New Roman"/>
          <w:sz w:val="22"/>
          <w:szCs w:val="22"/>
        </w:rPr>
        <w:t xml:space="preserve"> Suma Miesięcznych Kosztów Energii w Roku Umownym nie może być wyższa niż Górna Granica Tolerancji.</w:t>
      </w:r>
    </w:p>
    <w:p w14:paraId="55265521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A9CAA81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7EA5">
        <w:rPr>
          <w:rFonts w:ascii="Times New Roman" w:hAnsi="Times New Roman"/>
          <w:b/>
          <w:sz w:val="22"/>
        </w:rPr>
        <w:t>Współczynniki Miesięczne</w:t>
      </w:r>
      <w:r w:rsidRPr="00DD16C0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W_m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) – liczby nieujemne przypisane do każdego miesiąca m (=1,…,12) danego Roku Umownego, takie że </w:t>
      </w:r>
      <m:oMath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Times New Roman"/>
                <w:sz w:val="22"/>
                <w:szCs w:val="22"/>
              </w:rPr>
              <m:t>m=1</m:t>
            </m:r>
          </m:sub>
          <m:sup>
            <m:r>
              <w:rPr>
                <w:rFonts w:ascii="Cambria Math" w:hAnsi="Cambria Math" w:cs="Times New Roman"/>
                <w:sz w:val="22"/>
                <w:szCs w:val="22"/>
              </w:rPr>
              <m:t>12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m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>=1</m:t>
            </m:r>
          </m:e>
        </m:nary>
      </m:oMath>
      <w:r w:rsidRPr="00596B44">
        <w:rPr>
          <w:rFonts w:ascii="Times New Roman" w:hAnsi="Times New Roman" w:cs="Times New Roman"/>
          <w:sz w:val="22"/>
          <w:szCs w:val="22"/>
        </w:rPr>
        <w:t>.</w:t>
      </w:r>
      <w:r w:rsidRPr="00DD16C0">
        <w:rPr>
          <w:rFonts w:ascii="Times New Roman" w:hAnsi="Times New Roman" w:cs="Times New Roman"/>
          <w:sz w:val="22"/>
          <w:szCs w:val="22"/>
        </w:rPr>
        <w:t xml:space="preserve"> Współczynniki odwzorowują sezonowość zużycia wszystkich Budynków. W pierwszym Roku Umownym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W_m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ustala się proporcjonalnie do historycznego udziału kosztów w danym miesiącu w ramach </w:t>
      </w:r>
      <w:r w:rsidRPr="00596B44">
        <w:rPr>
          <w:rFonts w:ascii="Times New Roman" w:hAnsi="Times New Roman" w:cs="Times New Roman"/>
          <w:sz w:val="22"/>
          <w:szCs w:val="22"/>
        </w:rPr>
        <w:t>X</w:t>
      </w:r>
      <w:r w:rsidRPr="00607EA5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596B44">
        <w:rPr>
          <w:rFonts w:ascii="Times New Roman" w:hAnsi="Times New Roman" w:cs="Times New Roman"/>
          <w:sz w:val="22"/>
          <w:szCs w:val="22"/>
        </w:rPr>
        <w:t>.</w:t>
      </w:r>
    </w:p>
    <w:p w14:paraId="2745F6B3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5F0B7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7EA5">
        <w:rPr>
          <w:rFonts w:ascii="Times New Roman" w:hAnsi="Times New Roman"/>
          <w:b/>
          <w:sz w:val="22"/>
        </w:rPr>
        <w:t>Limit Miesięczny</w:t>
      </w:r>
      <w:r w:rsidRPr="00DD16C0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Cap_m</w:t>
      </w:r>
      <w:proofErr w:type="spellEnd"/>
      <w:r w:rsidRPr="00596B44">
        <w:rPr>
          <w:rFonts w:ascii="Times New Roman" w:hAnsi="Times New Roman" w:cs="Times New Roman"/>
          <w:sz w:val="22"/>
          <w:szCs w:val="22"/>
        </w:rPr>
        <w:t>)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alokacja Limitu Rocznego na miesiąc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Cap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=Cap ×</m:t>
        </m:r>
        <m:r>
          <w:rPr>
            <w:rFonts w:ascii="Cambria Math" w:eastAsiaTheme="minorEastAsia" w:hAnsi="Cambria Math" w:cs="Times New Roman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</m:t>
            </m:r>
          </m:sub>
        </m:sSub>
      </m:oMath>
    </w:p>
    <w:p w14:paraId="5EC08574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ACC9F57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4D21AA14">
        <w:rPr>
          <w:rFonts w:ascii="Times New Roman" w:hAnsi="Times New Roman"/>
          <w:b/>
          <w:sz w:val="22"/>
          <w:szCs w:val="22"/>
        </w:rPr>
        <w:t xml:space="preserve">Miesięczne Wynagrodzenie Usługowe </w:t>
      </w:r>
      <w:r w:rsidRPr="00DD16C0">
        <w:rPr>
          <w:rFonts w:ascii="Times New Roman" w:hAnsi="Times New Roman" w:cs="Times New Roman"/>
          <w:sz w:val="22"/>
          <w:szCs w:val="22"/>
        </w:rPr>
        <w:t>(Fm</w:t>
      </w:r>
      <w:r w:rsidRPr="00596B44">
        <w:rPr>
          <w:rFonts w:ascii="Times New Roman" w:hAnsi="Times New Roman" w:cs="Times New Roman"/>
          <w:sz w:val="22"/>
          <w:szCs w:val="22"/>
        </w:rPr>
        <w:t>)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kwota należna Wykonawcy za usługi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EaaS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w Okresie Rozliczeniowym m, obliczana zgodnie z </w:t>
      </w:r>
      <w:r w:rsidRPr="00596B44">
        <w:rPr>
          <w:rFonts w:ascii="Times New Roman" w:hAnsi="Times New Roman" w:cs="Times New Roman"/>
          <w:sz w:val="22"/>
          <w:szCs w:val="22"/>
        </w:rPr>
        <w:t>§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DD16C0">
        <w:rPr>
          <w:rFonts w:ascii="Times New Roman" w:hAnsi="Times New Roman" w:cs="Times New Roman"/>
          <w:sz w:val="22"/>
          <w:szCs w:val="22"/>
        </w:rPr>
        <w:t xml:space="preserve"> poniżej.</w:t>
      </w:r>
    </w:p>
    <w:p w14:paraId="37098B2C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42CE42A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7EA5">
        <w:rPr>
          <w:rFonts w:ascii="Times New Roman" w:hAnsi="Times New Roman"/>
          <w:b/>
          <w:sz w:val="22"/>
        </w:rPr>
        <w:t>Dokumenty Podstawowe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komplety faktur pierwotnych i zestawień rozliczeniowych sprzedawców energii lub gazu oraz operatorów systemów dystrybucyjnych/przesyłowych, na podstawie których ustala się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E_m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4939D62E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ADA8205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BBAD574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99BA29A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4310">
        <w:rPr>
          <w:rFonts w:ascii="Times New Roman" w:hAnsi="Times New Roman" w:cs="Times New Roman"/>
          <w:b/>
          <w:sz w:val="22"/>
          <w:szCs w:val="22"/>
        </w:rPr>
        <w:lastRenderedPageBreak/>
        <w:t xml:space="preserve">Roczny Próg Kosztowy </w:t>
      </w:r>
      <w:r w:rsidRPr="4D21AA14">
        <w:rPr>
          <w:rFonts w:ascii="Times New Roman" w:hAnsi="Times New Roman" w:cs="Times New Roman"/>
          <w:sz w:val="22"/>
          <w:szCs w:val="22"/>
        </w:rPr>
        <w:t xml:space="preserve">w roku t (RPK(t)) – maksymalna wartość kosztów energii elektrycznej i gazu obliczana na podstawie Audytów Zamawiającego </w:t>
      </w:r>
      <w:r>
        <w:rPr>
          <w:rFonts w:ascii="Times New Roman" w:hAnsi="Times New Roman" w:cs="Times New Roman"/>
          <w:sz w:val="22"/>
          <w:szCs w:val="22"/>
        </w:rPr>
        <w:t xml:space="preserve">(po realizacji Fazy 1) </w:t>
      </w:r>
      <w:r w:rsidRPr="4D21AA14">
        <w:rPr>
          <w:rFonts w:ascii="Times New Roman" w:hAnsi="Times New Roman" w:cs="Times New Roman"/>
          <w:sz w:val="22"/>
          <w:szCs w:val="22"/>
        </w:rPr>
        <w:t>zgodnie z następującą formułą</w:t>
      </w:r>
      <w:r w:rsidRPr="00DD16C0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32B9B128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8CE22C0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RPK(t) = Σₘ ( </w:t>
      </w:r>
      <w:r w:rsidRPr="00A14310">
        <w:rPr>
          <w:rFonts w:ascii="Times New Roman" w:hAnsi="Times New Roman" w:cs="Times New Roman"/>
          <w:b/>
          <w:bCs/>
          <w:sz w:val="22"/>
          <w:szCs w:val="22"/>
        </w:rPr>
        <w:t>W_EL_AUD[m]</w:t>
      </w:r>
      <w:r w:rsidRPr="00DD16C0">
        <w:rPr>
          <w:rFonts w:ascii="Times New Roman" w:hAnsi="Times New Roman" w:cs="Times New Roman"/>
          <w:sz w:val="22"/>
          <w:szCs w:val="22"/>
        </w:rPr>
        <w:t xml:space="preserve"> × </w:t>
      </w:r>
      <w:r w:rsidRPr="00A14310">
        <w:rPr>
          <w:rFonts w:ascii="Times New Roman" w:hAnsi="Times New Roman" w:cs="Times New Roman"/>
          <w:b/>
          <w:bCs/>
          <w:sz w:val="22"/>
          <w:szCs w:val="22"/>
        </w:rPr>
        <w:t>C_EL[m]</w:t>
      </w:r>
      <w:r w:rsidRPr="00DD16C0">
        <w:rPr>
          <w:rFonts w:ascii="Times New Roman" w:hAnsi="Times New Roman" w:cs="Times New Roman"/>
          <w:sz w:val="22"/>
          <w:szCs w:val="22"/>
        </w:rPr>
        <w:t xml:space="preserve"> ) + Σₘ ( </w:t>
      </w:r>
      <w:r w:rsidRPr="00A14310">
        <w:rPr>
          <w:rFonts w:ascii="Times New Roman" w:hAnsi="Times New Roman" w:cs="Times New Roman"/>
          <w:b/>
          <w:bCs/>
          <w:sz w:val="22"/>
          <w:szCs w:val="22"/>
        </w:rPr>
        <w:t>W_GAZ_AUD[m]</w:t>
      </w:r>
      <w:r w:rsidRPr="00DD16C0">
        <w:rPr>
          <w:rFonts w:ascii="Times New Roman" w:hAnsi="Times New Roman" w:cs="Times New Roman"/>
          <w:sz w:val="22"/>
          <w:szCs w:val="22"/>
        </w:rPr>
        <w:t xml:space="preserve"> × </w:t>
      </w:r>
      <w:r w:rsidRPr="00A14310">
        <w:rPr>
          <w:rFonts w:ascii="Times New Roman" w:hAnsi="Times New Roman" w:cs="Times New Roman"/>
          <w:b/>
          <w:bCs/>
          <w:sz w:val="22"/>
          <w:szCs w:val="22"/>
        </w:rPr>
        <w:t>C_GAZ[m]</w:t>
      </w:r>
      <w:r w:rsidRPr="00DD16C0">
        <w:rPr>
          <w:rFonts w:ascii="Times New Roman" w:hAnsi="Times New Roman" w:cs="Times New Roman"/>
          <w:sz w:val="22"/>
          <w:szCs w:val="22"/>
        </w:rPr>
        <w:t xml:space="preserve"> ).</w:t>
      </w:r>
    </w:p>
    <w:p w14:paraId="3717E3B6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A878D4B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4D21AA14">
        <w:rPr>
          <w:rFonts w:ascii="Times New Roman" w:hAnsi="Times New Roman" w:cs="Times New Roman"/>
          <w:sz w:val="22"/>
          <w:szCs w:val="22"/>
        </w:rPr>
        <w:t>gdzie:</w:t>
      </w:r>
    </w:p>
    <w:p w14:paraId="2D44375C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0C9858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4310">
        <w:rPr>
          <w:rFonts w:ascii="Times New Roman" w:hAnsi="Times New Roman" w:cs="Times New Roman"/>
          <w:b/>
          <w:bCs/>
          <w:sz w:val="22"/>
          <w:szCs w:val="22"/>
        </w:rPr>
        <w:t>W_EL_AUD[m]</w:t>
      </w:r>
      <w:r w:rsidRPr="4D21AA14">
        <w:rPr>
          <w:rFonts w:ascii="Times New Roman" w:hAnsi="Times New Roman" w:cs="Times New Roman"/>
          <w:sz w:val="22"/>
          <w:szCs w:val="22"/>
        </w:rPr>
        <w:t xml:space="preserve"> – </w:t>
      </w:r>
      <w:r w:rsidRPr="31CE003F">
        <w:rPr>
          <w:rFonts w:ascii="Times New Roman" w:hAnsi="Times New Roman" w:cs="Times New Roman"/>
          <w:sz w:val="22"/>
          <w:szCs w:val="22"/>
        </w:rPr>
        <w:t xml:space="preserve">konieczny do </w:t>
      </w:r>
      <w:r w:rsidRPr="69812889">
        <w:rPr>
          <w:rFonts w:ascii="Times New Roman" w:hAnsi="Times New Roman" w:cs="Times New Roman"/>
          <w:sz w:val="22"/>
          <w:szCs w:val="22"/>
        </w:rPr>
        <w:t>zakupu wolumen</w:t>
      </w:r>
      <w:r w:rsidRPr="4D21AA14">
        <w:rPr>
          <w:rFonts w:ascii="Times New Roman" w:hAnsi="Times New Roman" w:cs="Times New Roman"/>
          <w:sz w:val="22"/>
          <w:szCs w:val="22"/>
        </w:rPr>
        <w:t xml:space="preserve"> energii elektrycznej (kWh) dla miesiąca wynikający z Audytów Zamawiającego</w:t>
      </w:r>
      <w:r>
        <w:rPr>
          <w:rFonts w:ascii="Times New Roman" w:hAnsi="Times New Roman" w:cs="Times New Roman"/>
          <w:sz w:val="22"/>
          <w:szCs w:val="22"/>
        </w:rPr>
        <w:t xml:space="preserve"> (po realizacji Fazy 1)</w:t>
      </w:r>
      <w:r w:rsidRPr="4D21AA14">
        <w:rPr>
          <w:rFonts w:ascii="Times New Roman" w:hAnsi="Times New Roman" w:cs="Times New Roman"/>
          <w:sz w:val="22"/>
          <w:szCs w:val="22"/>
        </w:rPr>
        <w:t>.</w:t>
      </w:r>
    </w:p>
    <w:p w14:paraId="573D2C3A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0D6991D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4310">
        <w:rPr>
          <w:rFonts w:ascii="Times New Roman" w:hAnsi="Times New Roman" w:cs="Times New Roman"/>
          <w:b/>
          <w:bCs/>
          <w:sz w:val="22"/>
          <w:szCs w:val="22"/>
        </w:rPr>
        <w:t>W_GAZ_AUD[m]</w:t>
      </w:r>
      <w:r w:rsidRPr="4D21AA14">
        <w:rPr>
          <w:rFonts w:ascii="Times New Roman" w:hAnsi="Times New Roman" w:cs="Times New Roman"/>
          <w:sz w:val="22"/>
          <w:szCs w:val="22"/>
        </w:rPr>
        <w:t xml:space="preserve"> – </w:t>
      </w:r>
      <w:r w:rsidRPr="21A2B286">
        <w:rPr>
          <w:rFonts w:ascii="Times New Roman" w:hAnsi="Times New Roman" w:cs="Times New Roman"/>
          <w:sz w:val="22"/>
          <w:szCs w:val="22"/>
        </w:rPr>
        <w:t xml:space="preserve">konieczny </w:t>
      </w:r>
      <w:r w:rsidRPr="3942DD2C">
        <w:rPr>
          <w:rFonts w:ascii="Times New Roman" w:hAnsi="Times New Roman" w:cs="Times New Roman"/>
          <w:sz w:val="22"/>
          <w:szCs w:val="22"/>
        </w:rPr>
        <w:t>do zakupu</w:t>
      </w:r>
      <w:r w:rsidRPr="4D21AA14">
        <w:rPr>
          <w:rFonts w:ascii="Times New Roman" w:hAnsi="Times New Roman" w:cs="Times New Roman"/>
          <w:sz w:val="22"/>
          <w:szCs w:val="22"/>
        </w:rPr>
        <w:t xml:space="preserve"> wolumen gazu dla miesiąca m </w:t>
      </w:r>
      <w:r w:rsidRPr="6AFE7F39">
        <w:rPr>
          <w:rFonts w:ascii="Times New Roman" w:hAnsi="Times New Roman" w:cs="Times New Roman"/>
          <w:sz w:val="22"/>
          <w:szCs w:val="22"/>
        </w:rPr>
        <w:t xml:space="preserve">wynikający </w:t>
      </w:r>
      <w:r w:rsidRPr="42490985">
        <w:rPr>
          <w:rFonts w:ascii="Times New Roman" w:hAnsi="Times New Roman" w:cs="Times New Roman"/>
          <w:sz w:val="22"/>
          <w:szCs w:val="22"/>
        </w:rPr>
        <w:t xml:space="preserve">z </w:t>
      </w:r>
      <w:r w:rsidRPr="406F3B79">
        <w:rPr>
          <w:rFonts w:ascii="Times New Roman" w:hAnsi="Times New Roman" w:cs="Times New Roman"/>
          <w:sz w:val="22"/>
          <w:szCs w:val="22"/>
        </w:rPr>
        <w:t xml:space="preserve">Audytów </w:t>
      </w:r>
      <w:r w:rsidRPr="1E516DAE">
        <w:rPr>
          <w:rFonts w:ascii="Times New Roman" w:hAnsi="Times New Roman" w:cs="Times New Roman"/>
          <w:sz w:val="22"/>
          <w:szCs w:val="22"/>
        </w:rPr>
        <w:t>Zamawiającego</w:t>
      </w:r>
      <w:r w:rsidRPr="033E4140">
        <w:rPr>
          <w:rFonts w:ascii="Times New Roman" w:hAnsi="Times New Roman" w:cs="Times New Roman"/>
          <w:sz w:val="22"/>
          <w:szCs w:val="22"/>
        </w:rPr>
        <w:t xml:space="preserve"> </w:t>
      </w:r>
      <w:r w:rsidRPr="4D21AA14">
        <w:rPr>
          <w:rFonts w:ascii="Times New Roman" w:hAnsi="Times New Roman" w:cs="Times New Roman"/>
          <w:sz w:val="22"/>
          <w:szCs w:val="22"/>
        </w:rPr>
        <w:t>(w kWh; jeżeli Audyt podaje Nm³ – z przeliczeniem)</w:t>
      </w:r>
      <w:r>
        <w:rPr>
          <w:rFonts w:ascii="Times New Roman" w:hAnsi="Times New Roman" w:cs="Times New Roman"/>
          <w:sz w:val="22"/>
          <w:szCs w:val="22"/>
        </w:rPr>
        <w:t xml:space="preserve"> (po realizacji Fazy 1)</w:t>
      </w:r>
      <w:r w:rsidRPr="4D21AA14">
        <w:rPr>
          <w:rFonts w:ascii="Times New Roman" w:hAnsi="Times New Roman" w:cs="Times New Roman"/>
          <w:sz w:val="22"/>
          <w:szCs w:val="22"/>
        </w:rPr>
        <w:t>.</w:t>
      </w:r>
    </w:p>
    <w:p w14:paraId="23BCEAE4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18C0240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4D21AA14">
        <w:rPr>
          <w:rFonts w:ascii="Times New Roman" w:hAnsi="Times New Roman" w:cs="Times New Roman"/>
          <w:sz w:val="22"/>
          <w:szCs w:val="22"/>
        </w:rPr>
        <w:t>Jeżeli Audyt wskazuje wyłącznie wartości roczne, miesięczny podział ustala się proporcjonalnie do Wₘ.</w:t>
      </w:r>
    </w:p>
    <w:p w14:paraId="133F076D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40CA095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4310">
        <w:rPr>
          <w:rFonts w:ascii="Times New Roman" w:hAnsi="Times New Roman" w:cs="Times New Roman"/>
          <w:b/>
          <w:bCs/>
          <w:sz w:val="22"/>
          <w:szCs w:val="22"/>
        </w:rPr>
        <w:t>C_EL[m]</w:t>
      </w:r>
      <w:r w:rsidRPr="4D21AA14">
        <w:rPr>
          <w:rFonts w:ascii="Times New Roman" w:hAnsi="Times New Roman" w:cs="Times New Roman"/>
          <w:sz w:val="22"/>
          <w:szCs w:val="22"/>
        </w:rPr>
        <w:t xml:space="preserve"> – średnia jednostkowa cena energii elektrycznej (zł/MWh) w miesiącu, wyliczona z Dokumentów Podstawowych. </w:t>
      </w:r>
    </w:p>
    <w:p w14:paraId="237978FB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622EA9C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4310">
        <w:rPr>
          <w:rFonts w:ascii="Times New Roman" w:hAnsi="Times New Roman" w:cs="Times New Roman"/>
          <w:b/>
          <w:bCs/>
          <w:sz w:val="22"/>
          <w:szCs w:val="22"/>
        </w:rPr>
        <w:t>C_GAZ[m]</w:t>
      </w:r>
      <w:r w:rsidRPr="4D21AA14">
        <w:rPr>
          <w:rFonts w:ascii="Times New Roman" w:hAnsi="Times New Roman" w:cs="Times New Roman"/>
          <w:sz w:val="22"/>
          <w:szCs w:val="22"/>
        </w:rPr>
        <w:t xml:space="preserve"> – średnia jednostkowa cena gazu (zł/MWh) w miesiącu, wyliczona z Dokumentów Podstawowych.</w:t>
      </w:r>
    </w:p>
    <w:p w14:paraId="048F29B5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33FBFBA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4310">
        <w:rPr>
          <w:rFonts w:ascii="Times New Roman" w:hAnsi="Times New Roman" w:cs="Times New Roman"/>
          <w:b/>
          <w:bCs/>
          <w:sz w:val="22"/>
          <w:szCs w:val="22"/>
        </w:rPr>
        <w:t>Górna Granica Tolerancji</w:t>
      </w:r>
      <w:r w:rsidRPr="4D21AA14">
        <w:rPr>
          <w:rFonts w:ascii="Times New Roman" w:hAnsi="Times New Roman" w:cs="Times New Roman"/>
          <w:sz w:val="22"/>
          <w:szCs w:val="22"/>
        </w:rPr>
        <w:t xml:space="preserve"> (GGT(t)) – Maksymalna wartość sumy Miesięcznych Kosztów Energii w Roku Umownym, obliczana zgodnie ze wzorem: GGT(t) = 1,</w:t>
      </w:r>
      <w:r>
        <w:rPr>
          <w:rFonts w:ascii="Times New Roman" w:hAnsi="Times New Roman" w:cs="Times New Roman"/>
          <w:sz w:val="22"/>
          <w:szCs w:val="22"/>
        </w:rPr>
        <w:t>0</w:t>
      </w:r>
      <w:r w:rsidRPr="4D21AA14">
        <w:rPr>
          <w:rFonts w:ascii="Times New Roman" w:hAnsi="Times New Roman" w:cs="Times New Roman"/>
          <w:sz w:val="22"/>
          <w:szCs w:val="22"/>
        </w:rPr>
        <w:t>5 × RPK(t).</w:t>
      </w:r>
    </w:p>
    <w:p w14:paraId="3FAAF42C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C661F45" w14:textId="77777777" w:rsidR="00A30617" w:rsidRPr="00607EA5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A14310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607EA5">
        <w:rPr>
          <w:rFonts w:ascii="Times New Roman" w:hAnsi="Times New Roman"/>
          <w:b/>
          <w:sz w:val="22"/>
        </w:rPr>
        <w:t>2. OBLICZANIE MIESIĘCZNEGO WYNAGRODZENIA</w:t>
      </w:r>
      <w:r w:rsidRPr="00596B4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14CA5809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1A00D10" w14:textId="77777777" w:rsidR="00A30617" w:rsidRPr="00DD16C0" w:rsidRDefault="00A30617" w:rsidP="00A30617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Miesięczne wynagrodzenie (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MW_m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>) oblicza się według następującego wzoru:</w:t>
      </w:r>
    </w:p>
    <w:p w14:paraId="6421F6B4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60233B5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D16C0">
        <w:rPr>
          <w:rFonts w:ascii="Times New Roman" w:hAnsi="Times New Roman" w:cs="Times New Roman"/>
          <w:sz w:val="22"/>
          <w:szCs w:val="22"/>
        </w:rPr>
        <w:t>MW_m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= Fm + Em</w:t>
      </w:r>
    </w:p>
    <w:p w14:paraId="1D8651D7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4FE6997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gdzie:</w:t>
      </w:r>
    </w:p>
    <w:p w14:paraId="6F25A071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189000C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Fm - Miesięczne Wynagrodzenie Usługowe</w:t>
      </w:r>
    </w:p>
    <w:p w14:paraId="4FD37C8A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Em - Miesięczne Koszty Energii</w:t>
      </w:r>
    </w:p>
    <w:p w14:paraId="7F5D8C1A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D4B6B5" w14:textId="77777777" w:rsidR="00A30617" w:rsidRPr="00607EA5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596B4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607EA5">
        <w:rPr>
          <w:rFonts w:ascii="Times New Roman" w:hAnsi="Times New Roman"/>
          <w:b/>
          <w:sz w:val="22"/>
        </w:rPr>
        <w:t>3. OBLICZANIE MIESIĘCZNEGO WYNAGRODZENIA USŁUGOWEGO</w:t>
      </w:r>
    </w:p>
    <w:p w14:paraId="757221EE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68CA20B" w14:textId="77777777" w:rsidR="00A30617" w:rsidRPr="00DD16C0" w:rsidRDefault="00A30617" w:rsidP="00A30617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Wynagrodzenie Usługowe za miesiąc oblicza się według następującego wzoru:</w:t>
      </w:r>
    </w:p>
    <w:p w14:paraId="4C316021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D41AD8E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DD16C0">
        <w:rPr>
          <w:rFonts w:ascii="Times New Roman" w:hAnsi="Times New Roman" w:cs="Times New Roman"/>
          <w:sz w:val="22"/>
          <w:szCs w:val="22"/>
          <w:lang w:val="en-US"/>
        </w:rPr>
        <w:t xml:space="preserve">Fm = max(0, </w:t>
      </w:r>
      <w:proofErr w:type="spellStart"/>
      <w:r w:rsidRPr="00DD16C0">
        <w:rPr>
          <w:rFonts w:ascii="Times New Roman" w:hAnsi="Times New Roman" w:cs="Times New Roman"/>
          <w:sz w:val="22"/>
          <w:szCs w:val="22"/>
          <w:lang w:val="en-US"/>
        </w:rPr>
        <w:t>Cap_m</w:t>
      </w:r>
      <w:proofErr w:type="spellEnd"/>
      <w:r w:rsidRPr="00DD16C0">
        <w:rPr>
          <w:rFonts w:ascii="Times New Roman" w:hAnsi="Times New Roman" w:cs="Times New Roman"/>
          <w:sz w:val="22"/>
          <w:szCs w:val="22"/>
          <w:lang w:val="en-US"/>
        </w:rPr>
        <w:t xml:space="preserve"> − Em)</w:t>
      </w:r>
    </w:p>
    <w:p w14:paraId="7BABD2B6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09BF7DD1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gdzie:</w:t>
      </w:r>
    </w:p>
    <w:p w14:paraId="124A6B68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C073C43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D16C0">
        <w:rPr>
          <w:rFonts w:ascii="Times New Roman" w:hAnsi="Times New Roman" w:cs="Times New Roman"/>
          <w:sz w:val="22"/>
          <w:szCs w:val="22"/>
        </w:rPr>
        <w:t>Cap_m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= Cap ×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W_m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>,</w:t>
      </w:r>
      <w:r w:rsidRPr="00596B4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C9FBB1E" w14:textId="77777777" w:rsidR="00A30617" w:rsidRPr="00DD16C0" w:rsidRDefault="00A30617" w:rsidP="00A30617">
      <w:pPr>
        <w:spacing w:after="0" w:line="24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Cap =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W_x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× X</w:t>
      </w:r>
      <w:r w:rsidRPr="00607EA5">
        <w:rPr>
          <w:rFonts w:ascii="Times New Roman" w:hAnsi="Times New Roman"/>
          <w:sz w:val="22"/>
          <w:vertAlign w:val="subscript"/>
        </w:rPr>
        <w:t>1</w:t>
      </w:r>
      <w:r w:rsidRPr="00DD16C0">
        <w:rPr>
          <w:rFonts w:ascii="Times New Roman" w:hAnsi="Times New Roman" w:cs="Times New Roman"/>
          <w:sz w:val="22"/>
          <w:szCs w:val="22"/>
        </w:rPr>
        <w:t xml:space="preserve"> + X</w:t>
      </w:r>
      <w:r w:rsidRPr="00607EA5">
        <w:rPr>
          <w:rFonts w:ascii="Times New Roman" w:hAnsi="Times New Roman"/>
          <w:sz w:val="22"/>
          <w:vertAlign w:val="subscript"/>
        </w:rPr>
        <w:t>2</w:t>
      </w:r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26DA5381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0C23B08" w14:textId="77777777" w:rsidR="00A30617" w:rsidRPr="00DD16C0" w:rsidRDefault="00A30617" w:rsidP="00A30617">
      <w:pPr>
        <w:pStyle w:val="Akapitzlist"/>
        <w:numPr>
          <w:ilvl w:val="0"/>
          <w:numId w:val="3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Jeżeli w danym miesiącu Em ≥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Cap_m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, wówczas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F_m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= 0 zł (cała płatność Zamawiającego za miesiąc dotyczy wyłącznie refakturowanych kosztów energii/gazu</w:t>
      </w:r>
      <w:r w:rsidRPr="00596B44">
        <w:rPr>
          <w:rFonts w:ascii="Times New Roman" w:hAnsi="Times New Roman" w:cs="Times New Roman"/>
          <w:sz w:val="22"/>
          <w:szCs w:val="22"/>
        </w:rPr>
        <w:t>)</w:t>
      </w:r>
      <w:r w:rsidRPr="00596B44" w:rsidDel="00607EA5">
        <w:rPr>
          <w:rFonts w:ascii="Times New Roman" w:hAnsi="Times New Roman" w:cs="Times New Roman"/>
          <w:sz w:val="22"/>
          <w:szCs w:val="22"/>
        </w:rPr>
        <w:t xml:space="preserve"> </w:t>
      </w:r>
      <w:r w:rsidRPr="00DD16C0">
        <w:rPr>
          <w:rFonts w:ascii="Times New Roman" w:hAnsi="Times New Roman" w:cs="Times New Roman"/>
          <w:sz w:val="22"/>
          <w:szCs w:val="22"/>
        </w:rPr>
        <w:t>z uwzględnieniem rozliczenia rocznego z</w:t>
      </w:r>
      <w:r>
        <w:rPr>
          <w:rFonts w:ascii="Times New Roman" w:hAnsi="Times New Roman" w:cs="Times New Roman"/>
          <w:sz w:val="22"/>
          <w:szCs w:val="22"/>
        </w:rPr>
        <w:t>godnie z</w:t>
      </w:r>
      <w:r w:rsidRPr="00DD16C0">
        <w:rPr>
          <w:rFonts w:ascii="Times New Roman" w:hAnsi="Times New Roman" w:cs="Times New Roman"/>
          <w:sz w:val="22"/>
          <w:szCs w:val="22"/>
        </w:rPr>
        <w:t xml:space="preserve"> §4</w:t>
      </w:r>
      <w:r>
        <w:rPr>
          <w:rFonts w:ascii="Times New Roman" w:hAnsi="Times New Roman" w:cs="Times New Roman"/>
          <w:sz w:val="22"/>
          <w:szCs w:val="22"/>
        </w:rPr>
        <w:t xml:space="preserve"> poniżej</w:t>
      </w:r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565F5A1A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3107A21" w14:textId="77777777" w:rsidR="00A30617" w:rsidRPr="00DD16C0" w:rsidRDefault="00A30617" w:rsidP="00A30617">
      <w:pPr>
        <w:pStyle w:val="Akapitzlist"/>
        <w:numPr>
          <w:ilvl w:val="0"/>
          <w:numId w:val="3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4D21AA14">
        <w:rPr>
          <w:rFonts w:ascii="Times New Roman" w:hAnsi="Times New Roman" w:cs="Times New Roman"/>
          <w:sz w:val="22"/>
          <w:szCs w:val="22"/>
        </w:rPr>
        <w:t>W przypadku sumy Miesięcznych Kosztów Energii jest nie większa niż</w:t>
      </w:r>
      <w:r w:rsidRPr="00DD16C0">
        <w:rPr>
          <w:rFonts w:ascii="Times New Roman" w:hAnsi="Times New Roman" w:cs="Times New Roman"/>
          <w:sz w:val="22"/>
          <w:szCs w:val="22"/>
        </w:rPr>
        <w:t xml:space="preserve"> </w:t>
      </w:r>
      <w:r w:rsidRPr="4D21AA14">
        <w:rPr>
          <w:rFonts w:ascii="Times New Roman" w:hAnsi="Times New Roman" w:cs="Times New Roman"/>
          <w:sz w:val="22"/>
          <w:szCs w:val="22"/>
        </w:rPr>
        <w:t>Górna Granica Tolerancji (</w:t>
      </w:r>
      <w:r w:rsidRPr="00DD16C0">
        <w:rPr>
          <w:rFonts w:ascii="Times New Roman" w:hAnsi="Times New Roman" w:cs="Times New Roman"/>
          <w:sz w:val="22"/>
          <w:szCs w:val="22"/>
        </w:rPr>
        <w:t>GGT(t</w:t>
      </w:r>
      <w:r w:rsidRPr="4D21AA14">
        <w:rPr>
          <w:rFonts w:ascii="Times New Roman" w:hAnsi="Times New Roman" w:cs="Times New Roman"/>
          <w:sz w:val="22"/>
          <w:szCs w:val="22"/>
        </w:rPr>
        <w:t>))</w:t>
      </w:r>
      <w:r w:rsidRPr="00DD16C0">
        <w:rPr>
          <w:rFonts w:ascii="Times New Roman" w:hAnsi="Times New Roman" w:cs="Times New Roman"/>
          <w:sz w:val="22"/>
          <w:szCs w:val="22"/>
        </w:rPr>
        <w:t xml:space="preserve"> ewentualny wzrost kosztów </w:t>
      </w:r>
      <w:r w:rsidRPr="4D21AA14">
        <w:rPr>
          <w:rFonts w:ascii="Times New Roman" w:hAnsi="Times New Roman" w:cs="Times New Roman"/>
          <w:sz w:val="22"/>
          <w:szCs w:val="22"/>
        </w:rPr>
        <w:t xml:space="preserve">energii </w:t>
      </w:r>
      <w:r w:rsidRPr="00DD16C0">
        <w:rPr>
          <w:rFonts w:ascii="Times New Roman" w:hAnsi="Times New Roman" w:cs="Times New Roman"/>
          <w:sz w:val="22"/>
          <w:szCs w:val="22"/>
        </w:rPr>
        <w:t xml:space="preserve">(wynikający z wolumenów „brakujących” po </w:t>
      </w:r>
      <w:r w:rsidRPr="4D21AA14">
        <w:rPr>
          <w:rFonts w:ascii="Times New Roman" w:hAnsi="Times New Roman" w:cs="Times New Roman"/>
          <w:sz w:val="22"/>
          <w:szCs w:val="22"/>
        </w:rPr>
        <w:t>Fazie 1</w:t>
      </w:r>
      <w:r w:rsidRPr="00DD16C0">
        <w:rPr>
          <w:rFonts w:ascii="Times New Roman" w:hAnsi="Times New Roman" w:cs="Times New Roman"/>
          <w:sz w:val="22"/>
          <w:szCs w:val="22"/>
        </w:rPr>
        <w:t xml:space="preserve"> oraz cen z Dokumentów Podstawowych) skutkuje proporcjonalnym obniżeniem Σ Fₘ(t); Wykonawcy nie przysługuje z tego tytułu jakiekolwiek wyrównanie.</w:t>
      </w:r>
    </w:p>
    <w:p w14:paraId="4A29FFEE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84C334A" w14:textId="77777777" w:rsidR="00A30617" w:rsidRPr="00607EA5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607EA5">
        <w:rPr>
          <w:rFonts w:ascii="Times New Roman" w:hAnsi="Times New Roman" w:cs="Times New Roman"/>
          <w:b/>
          <w:bCs/>
          <w:sz w:val="22"/>
          <w:szCs w:val="22"/>
        </w:rPr>
        <w:lastRenderedPageBreak/>
        <w:t>§</w:t>
      </w:r>
      <w:r w:rsidRPr="00607EA5">
        <w:rPr>
          <w:rFonts w:ascii="Times New Roman" w:hAnsi="Times New Roman"/>
          <w:b/>
          <w:sz w:val="22"/>
        </w:rPr>
        <w:t>4. ROZLICZENIE ROCZNE</w:t>
      </w:r>
    </w:p>
    <w:p w14:paraId="2E5871F4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2186FD7" w14:textId="77777777" w:rsidR="00A30617" w:rsidRPr="00DD16C0" w:rsidRDefault="00A30617" w:rsidP="00A30617">
      <w:pPr>
        <w:pStyle w:val="Akapitzlist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Po zakończeniu każdego Roku Umownego Wykonawca sporządza roczne zestawienie obejmujące </w:t>
      </w:r>
      <w:r w:rsidRPr="4D21AA14">
        <w:rPr>
          <w:rFonts w:ascii="Times New Roman" w:hAnsi="Times New Roman" w:cs="Times New Roman"/>
          <w:sz w:val="22"/>
          <w:szCs w:val="22"/>
        </w:rPr>
        <w:t>sumę Miesięcznych Kosztów Energii oraz sumę Wynagrodzenia Usługowego w danym Roku Umownym.</w:t>
      </w:r>
    </w:p>
    <w:p w14:paraId="4E87488C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6F6FA9A" w14:textId="77777777" w:rsidR="00A30617" w:rsidRPr="00A14310" w:rsidRDefault="00A30617" w:rsidP="00A30617">
      <w:pPr>
        <w:pStyle w:val="Akapitzlist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W przypadku, jeżeli </w:t>
      </w:r>
      <w:r w:rsidRPr="4D21AA14">
        <w:rPr>
          <w:rFonts w:ascii="Times New Roman" w:hAnsi="Times New Roman" w:cs="Times New Roman"/>
          <w:sz w:val="22"/>
          <w:szCs w:val="22"/>
        </w:rPr>
        <w:t>suma Miesięcznych Kosztów Energii jest nie większa niż</w:t>
      </w:r>
      <w:r w:rsidRPr="00DD16C0">
        <w:rPr>
          <w:rFonts w:ascii="Times New Roman" w:hAnsi="Times New Roman" w:cs="Times New Roman"/>
          <w:sz w:val="22"/>
          <w:szCs w:val="22"/>
        </w:rPr>
        <w:t xml:space="preserve"> GGT(t), Strony uznają, iż dany Rok Umowny został rozliczony </w:t>
      </w:r>
      <w:r w:rsidRPr="4D21AA14">
        <w:rPr>
          <w:rFonts w:ascii="Times New Roman" w:hAnsi="Times New Roman" w:cs="Times New Roman"/>
          <w:sz w:val="22"/>
          <w:szCs w:val="22"/>
        </w:rPr>
        <w:t>– bez jakichkolwiek dodatkowych rozliczeń pomiędzy Stronami Umowy.</w:t>
      </w:r>
    </w:p>
    <w:p w14:paraId="3BF8B452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F2A877A" w14:textId="77777777" w:rsidR="00A30617" w:rsidRPr="00DD16C0" w:rsidRDefault="00A30617" w:rsidP="00A30617">
      <w:pPr>
        <w:pStyle w:val="Akapitzlist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W przypadku, jeżeli </w:t>
      </w:r>
      <w:r w:rsidRPr="4D21AA14">
        <w:rPr>
          <w:rFonts w:ascii="Times New Roman" w:hAnsi="Times New Roman" w:cs="Times New Roman"/>
          <w:sz w:val="22"/>
          <w:szCs w:val="22"/>
        </w:rPr>
        <w:t>suma Miesięcznych Kosztów Energii jest większa niż GGT(t</w:t>
      </w:r>
      <w:r w:rsidRPr="00DD16C0">
        <w:rPr>
          <w:rFonts w:ascii="Times New Roman" w:hAnsi="Times New Roman" w:cs="Times New Roman"/>
          <w:sz w:val="22"/>
          <w:szCs w:val="22"/>
        </w:rPr>
        <w:t xml:space="preserve">), roczne Wynagrodzenie Usługowe Wykonawcy (Σ Fₘ(t)) nie może być niższe niż poziom odpowiadający rozliczeniu </w:t>
      </w:r>
      <w:r w:rsidRPr="4D21AA14">
        <w:rPr>
          <w:rFonts w:ascii="Times New Roman" w:hAnsi="Times New Roman" w:cs="Times New Roman"/>
          <w:sz w:val="22"/>
          <w:szCs w:val="22"/>
        </w:rPr>
        <w:t>dla Miesięcznych Kosztów Energii równych Górnej Granicy Tolerancji (GGT(t)).</w:t>
      </w:r>
      <w:r w:rsidRPr="00DD16C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W</w:t>
      </w:r>
      <w:r w:rsidRPr="00DD16C0">
        <w:rPr>
          <w:rFonts w:ascii="Times New Roman" w:hAnsi="Times New Roman" w:cs="Times New Roman"/>
          <w:sz w:val="22"/>
          <w:szCs w:val="22"/>
        </w:rPr>
        <w:t xml:space="preserve"> takim przypadku Zamawiający zapłaci Wykonawcy wyrównanie rocznego </w:t>
      </w:r>
      <w:r w:rsidRPr="4D21AA14">
        <w:rPr>
          <w:rFonts w:ascii="Times New Roman" w:hAnsi="Times New Roman" w:cs="Times New Roman"/>
          <w:sz w:val="22"/>
          <w:szCs w:val="22"/>
        </w:rPr>
        <w:t>Wynagrodzenia U</w:t>
      </w:r>
      <w:r w:rsidRPr="00DD16C0">
        <w:rPr>
          <w:rFonts w:ascii="Times New Roman" w:hAnsi="Times New Roman" w:cs="Times New Roman"/>
          <w:sz w:val="22"/>
          <w:szCs w:val="22"/>
        </w:rPr>
        <w:t xml:space="preserve">sługowego równe </w:t>
      </w:r>
      <w:r w:rsidRPr="4D21AA14">
        <w:rPr>
          <w:rFonts w:ascii="Times New Roman" w:hAnsi="Times New Roman" w:cs="Times New Roman"/>
          <w:sz w:val="22"/>
          <w:szCs w:val="22"/>
        </w:rPr>
        <w:t xml:space="preserve">różnicy pomiędzy Rocznym Limitem, wartością Górnej Granicy Tolerancji oraz wartością wypłaconego Wynagrodzenia Usługowego w Roku Umownym zgodnie ze wzorem: </w:t>
      </w:r>
      <w:r w:rsidRPr="00DD16C0">
        <w:rPr>
          <w:rFonts w:ascii="Times New Roman" w:hAnsi="Times New Roman" w:cs="Times New Roman"/>
          <w:sz w:val="22"/>
          <w:szCs w:val="22"/>
        </w:rPr>
        <w:t>Cap(t) − GGT(t) − Σ Fₘ(t</w:t>
      </w:r>
      <w:r w:rsidRPr="4D21AA14">
        <w:rPr>
          <w:rFonts w:ascii="Times New Roman" w:hAnsi="Times New Roman" w:cs="Times New Roman"/>
          <w:sz w:val="22"/>
          <w:szCs w:val="22"/>
        </w:rPr>
        <w:t>). Rozliczenie nastąpi</w:t>
      </w:r>
      <w:r w:rsidRPr="00DD16C0">
        <w:rPr>
          <w:rFonts w:ascii="Times New Roman" w:hAnsi="Times New Roman" w:cs="Times New Roman"/>
          <w:sz w:val="22"/>
          <w:szCs w:val="22"/>
        </w:rPr>
        <w:t xml:space="preserve"> na podstawie faktury VAT Wykonawcy, płatnej w terminie 14 dni od doręczenia. Wyrównanie roczne dotyczy wyłącznie </w:t>
      </w:r>
      <w:r>
        <w:rPr>
          <w:rFonts w:ascii="Times New Roman" w:hAnsi="Times New Roman" w:cs="Times New Roman"/>
          <w:sz w:val="22"/>
          <w:szCs w:val="22"/>
        </w:rPr>
        <w:t>W</w:t>
      </w:r>
      <w:r w:rsidRPr="00DD16C0">
        <w:rPr>
          <w:rFonts w:ascii="Times New Roman" w:hAnsi="Times New Roman" w:cs="Times New Roman"/>
          <w:sz w:val="22"/>
          <w:szCs w:val="22"/>
        </w:rPr>
        <w:t xml:space="preserve">ynagrodzenia 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6C0">
        <w:rPr>
          <w:rFonts w:ascii="Times New Roman" w:hAnsi="Times New Roman" w:cs="Times New Roman"/>
          <w:sz w:val="22"/>
          <w:szCs w:val="22"/>
        </w:rPr>
        <w:t xml:space="preserve">sługowego i nie stanowi rozliczenia ceny energii/gazu ani dopłaty do kosztów </w:t>
      </w:r>
      <w:r>
        <w:rPr>
          <w:rFonts w:ascii="Times New Roman" w:hAnsi="Times New Roman" w:cs="Times New Roman"/>
          <w:sz w:val="22"/>
          <w:szCs w:val="22"/>
        </w:rPr>
        <w:t>energii</w:t>
      </w:r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2D9C3D6C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DED1380" w14:textId="77777777" w:rsidR="00A30617" w:rsidRPr="00DD16C0" w:rsidRDefault="00A30617" w:rsidP="00A30617">
      <w:pPr>
        <w:pStyle w:val="Akapitzlist"/>
        <w:numPr>
          <w:ilvl w:val="0"/>
          <w:numId w:val="5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Korekty faktur pierwotnych sprzedawców/operatorów dotyczące okresu rozliczonego w ust. 1–3 rozlicza się w najbliższym Okresie Rozliczeniowym bieżącego Roku Umownego; jeżeli wpływają na przekroczenie GGT(t) w Roku </w:t>
      </w:r>
      <w:r>
        <w:rPr>
          <w:rFonts w:ascii="Times New Roman" w:hAnsi="Times New Roman" w:cs="Times New Roman"/>
          <w:sz w:val="22"/>
          <w:szCs w:val="22"/>
        </w:rPr>
        <w:t>poprzedzającym</w:t>
      </w:r>
      <w:r w:rsidRPr="00DD16C0">
        <w:rPr>
          <w:rFonts w:ascii="Times New Roman" w:hAnsi="Times New Roman" w:cs="Times New Roman"/>
          <w:sz w:val="22"/>
          <w:szCs w:val="22"/>
        </w:rPr>
        <w:t>, stosuje się odpowiednio ust. 3</w:t>
      </w:r>
      <w:r>
        <w:rPr>
          <w:rFonts w:ascii="Times New Roman" w:hAnsi="Times New Roman" w:cs="Times New Roman"/>
          <w:sz w:val="22"/>
          <w:szCs w:val="22"/>
        </w:rPr>
        <w:t xml:space="preserve"> powyżej</w:t>
      </w:r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6B120956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FD2167" w14:textId="77777777" w:rsidR="00A30617" w:rsidRPr="00DD16C0" w:rsidRDefault="00A30617" w:rsidP="00A30617">
      <w:pPr>
        <w:pStyle w:val="Akapitzlist"/>
        <w:numPr>
          <w:ilvl w:val="0"/>
          <w:numId w:val="5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Współczynniki Miesięczne (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W_m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>) na pierwszy Rok Umowny określa Załącznik nr …</w:t>
      </w:r>
    </w:p>
    <w:p w14:paraId="62F73B51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1AB7688" w14:textId="77777777" w:rsidR="00A30617" w:rsidRPr="00DD16C0" w:rsidRDefault="00A30617" w:rsidP="00A30617">
      <w:pPr>
        <w:pStyle w:val="Akapitzlist"/>
        <w:numPr>
          <w:ilvl w:val="0"/>
          <w:numId w:val="5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Na każdy kolejny Rok Umowny Wykonawca aktualizuje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W_m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do dnia … w oparciu o faktyczną sezonowość zużycia we wszystkich Budynkach w poprzednim Roku.</w:t>
      </w:r>
    </w:p>
    <w:p w14:paraId="69EF0CA8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2C56D4A" w14:textId="77777777" w:rsidR="00A30617" w:rsidRPr="007D0E66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596B4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7D0E66">
        <w:rPr>
          <w:rFonts w:ascii="Times New Roman" w:hAnsi="Times New Roman"/>
          <w:b/>
          <w:sz w:val="22"/>
        </w:rPr>
        <w:t>5. FAKTUROWANIE MIESIĘCZNE</w:t>
      </w:r>
    </w:p>
    <w:p w14:paraId="3AFE64B5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C6A4FC4" w14:textId="77777777" w:rsidR="00A30617" w:rsidRPr="00DD16C0" w:rsidRDefault="00A30617" w:rsidP="00A30617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Strony uzgadniają miesięczny tryb rozliczeń. Wykonawca wystawia za każdy Okres Rozliczeniowy jedną fakturę VAT obejmującą łącznie:</w:t>
      </w:r>
    </w:p>
    <w:p w14:paraId="2582EE24" w14:textId="77777777" w:rsidR="00A30617" w:rsidRPr="00DD16C0" w:rsidRDefault="00A30617" w:rsidP="00A30617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pozycje „Refaktura energii/gazu/dystrybucji – 1:1” w łącznej kwocie odpowiadającej Miesięcznym Kosztom Energii (Em), z </w:t>
      </w:r>
      <w:r w:rsidRPr="00596B44">
        <w:rPr>
          <w:rFonts w:ascii="Times New Roman" w:hAnsi="Times New Roman" w:cs="Times New Roman"/>
          <w:sz w:val="22"/>
          <w:szCs w:val="22"/>
        </w:rPr>
        <w:t>zastosowaniem stawek podatku i zasad opodatkowania zgodnych z Dokumentami Podstawowymi;</w:t>
      </w:r>
      <w:r w:rsidRPr="00DD16C0">
        <w:rPr>
          <w:rFonts w:ascii="Times New Roman" w:hAnsi="Times New Roman" w:cs="Times New Roman"/>
          <w:sz w:val="22"/>
          <w:szCs w:val="22"/>
        </w:rPr>
        <w:t xml:space="preserve"> do faktury dołącza się kopie/wyciągi Dokumentów Podstawowych oraz miesięczne zestawienie PPE/PPG;</w:t>
      </w:r>
    </w:p>
    <w:p w14:paraId="2AF6B00C" w14:textId="77777777" w:rsidR="00A30617" w:rsidRPr="00DD16C0" w:rsidRDefault="00A30617" w:rsidP="00A30617">
      <w:pPr>
        <w:pStyle w:val="Akapitzlist"/>
        <w:numPr>
          <w:ilvl w:val="1"/>
          <w:numId w:val="4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pozycję „Abonament za usługę zarządzania energią (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EaaS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>)”, odpowiadającą Wynagrodzeniu Usługowemu Fm;</w:t>
      </w:r>
    </w:p>
    <w:p w14:paraId="54CC9573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Na fakturze Wykonawcy pozycje refakturowane wykazywane są zgodnie z art. 106e ustawy o VAT – w wartościach netto i z odpowiednimi stawkami VAT odpowiadającymi Dokumentom Podstawowym.</w:t>
      </w:r>
    </w:p>
    <w:p w14:paraId="478E357E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5A6FF03" w14:textId="77777777" w:rsidR="00A30617" w:rsidRPr="00DD16C0" w:rsidRDefault="00A30617" w:rsidP="00A30617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Kwoty w ust. 1 lit. b) powyżej są kwotami netto, do których zostanie doliczony podatek VAT zgodnie z obowiązującymi przepisami.</w:t>
      </w:r>
    </w:p>
    <w:p w14:paraId="6291E091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6109A6" w14:textId="77777777" w:rsidR="00A30617" w:rsidRPr="00DD16C0" w:rsidRDefault="00A30617" w:rsidP="00A30617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Datą wykonania usługi, o której mowa w ust. 1 lit. b) jest ostatni dzień danego Okresu Rozliczeniowego. Fakturę, o której mowa w ust. 1, Wykonawca wystawia nie później niż do 15. dnia miesiąca następującego po miesiącu, którego dotyczą świadczenia z zastrzeżeniem ust. 4 poniżej.</w:t>
      </w:r>
    </w:p>
    <w:p w14:paraId="52BBD927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B86A1AF" w14:textId="77777777" w:rsidR="00A30617" w:rsidRPr="00DD16C0" w:rsidRDefault="00A30617" w:rsidP="00A30617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 zakresie pozycji „Refaktura energii/gazu/dystrybucji – 1:1” obowiązek podatkowy powstaje z chwilą wystawienia faktury; w przypadku niewystawienia faktury w terminie – z upływem terminu płatności właściwego dla danej pozycji. W pozostałym zakresie (pozycja „Abonament”) obowiązek podatkowy powstaje z upływem okresu rozliczeniowego.</w:t>
      </w:r>
    </w:p>
    <w:p w14:paraId="46F57B5C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8A4885" w14:textId="77777777" w:rsidR="00A30617" w:rsidRPr="00DD16C0" w:rsidRDefault="00A30617" w:rsidP="00A30617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Zamawiający dokonuje jednej płatności za dany Okres Rozliczeniowy – przelewem łącznej kwoty brutto wynikającej z faktury, w terminie 14 dni od dnia jej doręczenia Zamawiającemu, na rachunek Wykonawcy wskazany na fakturze.</w:t>
      </w:r>
    </w:p>
    <w:p w14:paraId="1E0CF6D4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65D4B1" w14:textId="77777777" w:rsidR="00A30617" w:rsidRPr="00DD16C0" w:rsidRDefault="00A30617" w:rsidP="00A30617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W przypadku otrzymania przez Wykonawcę z opóźnieniem Dokumentów Podstawowych dotyczących okresów minionych albo wystawienia przez sprzedawcę/operatora faktur korygujących, Wykonawca ujmuje odpowiednie kwoty w najbliższym możliwym Okresie Rozliczeniowym poprzez refakturę 1:1; rozliczenia </w:t>
      </w:r>
      <w:r w:rsidRPr="00596B44">
        <w:rPr>
          <w:rFonts w:ascii="Times New Roman" w:hAnsi="Times New Roman" w:cs="Times New Roman"/>
          <w:sz w:val="22"/>
          <w:szCs w:val="22"/>
        </w:rPr>
        <w:t xml:space="preserve">roczne </w:t>
      </w:r>
      <w:r w:rsidRPr="00DD16C0">
        <w:rPr>
          <w:rFonts w:ascii="Times New Roman" w:hAnsi="Times New Roman" w:cs="Times New Roman"/>
          <w:sz w:val="22"/>
          <w:szCs w:val="22"/>
        </w:rPr>
        <w:t xml:space="preserve">i ewentualne wyrównania dokonuje się zgodnie z §4 </w:t>
      </w:r>
      <w:r>
        <w:rPr>
          <w:rFonts w:ascii="Times New Roman" w:hAnsi="Times New Roman" w:cs="Times New Roman"/>
          <w:sz w:val="22"/>
          <w:szCs w:val="22"/>
        </w:rPr>
        <w:t>powyżej</w:t>
      </w:r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479D748D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E8D0E93" w14:textId="77777777" w:rsidR="00A30617" w:rsidRPr="00DD16C0" w:rsidRDefault="00A30617" w:rsidP="00A30617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Strony potwierdzają, że pozycje „Refaktura energii/gazu/dystrybucji – 1:1” stanowią wyłącznie przeniesienie kosztów mediów na Zamawiającego, w wysokości i według zasad opodatkowania wynikających z Dokumentów Podstawowych, bez jakiejkolwiek marży, narzutu lub kształtowania ceny przez Wykonawcę. Postanowienia niniejszego paragrafu nie stanowią i nie mogą być interpretowane jako sprzedaż energii/gazu przez Wykonawcę na rzecz Zamawiającego.</w:t>
      </w:r>
    </w:p>
    <w:p w14:paraId="047516F1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AFDC0A5" w14:textId="77777777" w:rsidR="00A30617" w:rsidRPr="007D0E66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596B4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7D0E66">
        <w:rPr>
          <w:rFonts w:ascii="Times New Roman" w:hAnsi="Times New Roman"/>
          <w:b/>
          <w:sz w:val="22"/>
        </w:rPr>
        <w:t>6. ZASADA REFAKTUROWANIA KOSZTÓW ENERGII I GAZU</w:t>
      </w:r>
    </w:p>
    <w:p w14:paraId="13D42A0C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D5DD95D" w14:textId="77777777" w:rsidR="00A30617" w:rsidRPr="00DD16C0" w:rsidRDefault="00A30617" w:rsidP="00A30617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Wykonawca refakturuje Zamawiającemu Koszty Energii w wysokości dokładnie odpowiadającej kwotom wynikającym z Dokumentów Podstawowych (1:1), bez jakiejkolwiek marży, narzutu lub opłaty handlowej po stronie energii/gazu/dystrybucji.</w:t>
      </w:r>
    </w:p>
    <w:p w14:paraId="246897CF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B949D90" w14:textId="77777777" w:rsidR="00A30617" w:rsidRPr="00DD16C0" w:rsidRDefault="00A30617" w:rsidP="00A30617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Do każdej refaktury Wykonawca dołącza kopie/wyciągi Dokumentów Podstawowych oraz miesięczne zestawienie PPE/PPG dla wszystkich Budynków.</w:t>
      </w:r>
    </w:p>
    <w:p w14:paraId="6F6D9472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9E4D246" w14:textId="77777777" w:rsidR="00A30617" w:rsidRPr="007D0E66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596B4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7D0E66">
        <w:rPr>
          <w:rFonts w:ascii="Times New Roman" w:hAnsi="Times New Roman"/>
          <w:b/>
          <w:sz w:val="22"/>
        </w:rPr>
        <w:t>7. AGREGACJA WIELU UMÓW I WIELU FAKTUR</w:t>
      </w:r>
    </w:p>
    <w:p w14:paraId="3A63A0D2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B1D6684" w14:textId="77777777" w:rsidR="00A30617" w:rsidRPr="00DD16C0" w:rsidRDefault="00A30617" w:rsidP="00A30617">
      <w:pPr>
        <w:pStyle w:val="Akapitzlist"/>
        <w:numPr>
          <w:ilvl w:val="0"/>
          <w:numId w:val="2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Niezależnie od liczby umów sprzedaży/dystrybucji oraz liczby faktur pierwotnych odrębnie dla energii i gazu, Em stanowi sumę wszystkich takich pozycji dotyczących wszystkich Budynków w danym Okresie Rozliczeniowym.</w:t>
      </w:r>
    </w:p>
    <w:p w14:paraId="51F2A1B4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43268BB" w14:textId="77777777" w:rsidR="00A30617" w:rsidRPr="00DD16C0" w:rsidRDefault="00A30617" w:rsidP="00A30617">
      <w:pPr>
        <w:pStyle w:val="Akapitzlist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W przypadku faktur wystawionych z opóźnieniem lub korekt za okresy ubiegłe, Em obejmuje odpowiednie kwoty w miesiącu otrzymania faktury/korekty, z uwzględnieniem §4 </w:t>
      </w:r>
      <w:r>
        <w:rPr>
          <w:rFonts w:ascii="Times New Roman" w:hAnsi="Times New Roman" w:cs="Times New Roman"/>
          <w:sz w:val="22"/>
          <w:szCs w:val="22"/>
        </w:rPr>
        <w:t>powyżej</w:t>
      </w:r>
      <w:r w:rsidRPr="00DD16C0">
        <w:rPr>
          <w:rFonts w:ascii="Times New Roman" w:hAnsi="Times New Roman" w:cs="Times New Roman"/>
          <w:sz w:val="22"/>
          <w:szCs w:val="22"/>
        </w:rPr>
        <w:t>.</w:t>
      </w:r>
    </w:p>
    <w:p w14:paraId="7CE8AED0" w14:textId="77777777" w:rsidR="00A30617" w:rsidRPr="007D0E66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</w:p>
    <w:p w14:paraId="05875C73" w14:textId="77777777" w:rsidR="00A30617" w:rsidRPr="00596B44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4F2570F" w14:textId="77777777" w:rsidR="00A30617" w:rsidRPr="007D0E66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596B4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7D0E66">
        <w:rPr>
          <w:rFonts w:ascii="Times New Roman" w:hAnsi="Times New Roman"/>
          <w:b/>
          <w:sz w:val="22"/>
        </w:rPr>
        <w:t>8. POTRĄCENIE WZAJEMNYCH WIERZYTELNOŚCI</w:t>
      </w:r>
    </w:p>
    <w:p w14:paraId="5002A587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0950609" w14:textId="77777777" w:rsidR="00A30617" w:rsidRPr="00596B44" w:rsidRDefault="00A30617" w:rsidP="00A30617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596B44">
        <w:rPr>
          <w:rFonts w:ascii="Times New Roman" w:hAnsi="Times New Roman" w:cs="Times New Roman"/>
          <w:sz w:val="22"/>
          <w:szCs w:val="22"/>
        </w:rPr>
        <w:t>Strony potwierdzają, że łączy je odrębna umowa najmu [</w:t>
      </w:r>
      <w:r w:rsidRPr="00213440">
        <w:rPr>
          <w:rFonts w:ascii="Times New Roman" w:hAnsi="Times New Roman" w:cs="Times New Roman"/>
          <w:sz w:val="22"/>
          <w:szCs w:val="22"/>
          <w:highlight w:val="yellow"/>
        </w:rPr>
        <w:t>oznaczenie</w:t>
      </w:r>
      <w:r w:rsidRPr="00596B44">
        <w:rPr>
          <w:rFonts w:ascii="Times New Roman" w:hAnsi="Times New Roman" w:cs="Times New Roman"/>
          <w:sz w:val="22"/>
          <w:szCs w:val="22"/>
        </w:rPr>
        <w:t xml:space="preserve">], na mocy której Wykonawca jest obowiązany do zapłaty na rzecz Zamawiającego czynszu najmu w wysokości </w:t>
      </w:r>
      <w:r w:rsidRPr="00213440">
        <w:rPr>
          <w:rFonts w:ascii="Times New Roman" w:hAnsi="Times New Roman" w:cs="Times New Roman"/>
          <w:sz w:val="22"/>
          <w:szCs w:val="22"/>
          <w:highlight w:val="yellow"/>
        </w:rPr>
        <w:t>______</w:t>
      </w:r>
      <w:r w:rsidRPr="00596B44">
        <w:rPr>
          <w:rFonts w:ascii="Times New Roman" w:hAnsi="Times New Roman" w:cs="Times New Roman"/>
          <w:sz w:val="22"/>
          <w:szCs w:val="22"/>
        </w:rPr>
        <w:t xml:space="preserve"> za każdy Okres Rozliczeniowy, z terminem płatności do dnia [</w:t>
      </w:r>
      <w:r w:rsidRPr="00213440">
        <w:rPr>
          <w:rFonts w:ascii="Times New Roman" w:hAnsi="Times New Roman" w:cs="Times New Roman"/>
          <w:sz w:val="22"/>
          <w:szCs w:val="22"/>
          <w:highlight w:val="yellow"/>
        </w:rPr>
        <w:t>__</w:t>
      </w:r>
      <w:r w:rsidRPr="00596B44">
        <w:rPr>
          <w:rFonts w:ascii="Times New Roman" w:hAnsi="Times New Roman" w:cs="Times New Roman"/>
          <w:sz w:val="22"/>
          <w:szCs w:val="22"/>
        </w:rPr>
        <w:t>] każdego miesiąca.</w:t>
      </w:r>
    </w:p>
    <w:p w14:paraId="40154084" w14:textId="77777777" w:rsidR="00A30617" w:rsidRPr="00596B44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A58D91B" w14:textId="77777777" w:rsidR="00A30617" w:rsidRPr="00596B44" w:rsidRDefault="00A30617" w:rsidP="00A30617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596B44">
        <w:rPr>
          <w:rFonts w:ascii="Times New Roman" w:hAnsi="Times New Roman" w:cs="Times New Roman"/>
          <w:sz w:val="22"/>
          <w:szCs w:val="22"/>
        </w:rPr>
        <w:t>Strony postanawiają, że z tytułu wierzytelności przysługujących Wykonawcy wobec Zamawiającego oraz wierzytelności Zamawiającego wobec Wykonawcy (czynsz najmu) będą dokonywać comiesięcznego potrącenia, o którym mowa w art. 498 k.c., na podstawie oświadczeń składanych najpóźniej w dniu wymagalności wierzytelności objętych potrąceniem.</w:t>
      </w:r>
    </w:p>
    <w:p w14:paraId="0D8D896C" w14:textId="77777777" w:rsidR="00A30617" w:rsidRPr="00596B44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9DDB8F2" w14:textId="77777777" w:rsidR="00A30617" w:rsidRPr="00596B44" w:rsidRDefault="00A30617" w:rsidP="00A30617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596B44">
        <w:rPr>
          <w:rFonts w:ascii="Times New Roman" w:hAnsi="Times New Roman" w:cs="Times New Roman"/>
          <w:sz w:val="22"/>
          <w:szCs w:val="22"/>
        </w:rPr>
        <w:t>Strony uzgadniają, że wierzytelności objęte potrąceniem są pieniężne, wzajemne, bezsporne i wymagalne w tym samym dniu, a w przypadku gdyby którakolwiek wierzytelność stała się wymagalna w innym dniu, Strona uprawniona uprzednio wezwie drugą Stronę do zapłaty, celem zapewnienia wymagalności w dniu potrącenia.</w:t>
      </w:r>
    </w:p>
    <w:p w14:paraId="1A0CE50C" w14:textId="77777777" w:rsidR="00A30617" w:rsidRPr="00596B44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BBBBB9F" w14:textId="77777777" w:rsidR="00A30617" w:rsidRPr="00596B44" w:rsidRDefault="00A30617" w:rsidP="00A30617">
      <w:pPr>
        <w:pStyle w:val="Akapitzlist"/>
        <w:numPr>
          <w:ilvl w:val="0"/>
          <w:numId w:val="7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596B44">
        <w:rPr>
          <w:rFonts w:ascii="Times New Roman" w:hAnsi="Times New Roman" w:cs="Times New Roman"/>
          <w:sz w:val="22"/>
          <w:szCs w:val="22"/>
        </w:rPr>
        <w:t>Po dokonaniu potrącenia Strony dokonują rozliczenia różnicy, o ile występuje.</w:t>
      </w:r>
    </w:p>
    <w:p w14:paraId="6C19C0CA" w14:textId="77777777" w:rsidR="00A30617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305F34E" w14:textId="77777777" w:rsidR="00A30617" w:rsidRPr="00596B44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653BCCC" w14:textId="77777777" w:rsidR="00A30617" w:rsidRPr="007D0E66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596B44">
        <w:rPr>
          <w:rFonts w:ascii="Times New Roman" w:hAnsi="Times New Roman" w:cs="Times New Roman"/>
          <w:b/>
          <w:bCs/>
          <w:sz w:val="22"/>
          <w:szCs w:val="22"/>
        </w:rPr>
        <w:lastRenderedPageBreak/>
        <w:t>§</w:t>
      </w:r>
      <w:r w:rsidRPr="007D0E66">
        <w:rPr>
          <w:rFonts w:ascii="Times New Roman" w:hAnsi="Times New Roman"/>
          <w:b/>
          <w:sz w:val="22"/>
        </w:rPr>
        <w:t>9. BRAK „SPRZEDAŻY ENERGII</w:t>
      </w:r>
      <w:r w:rsidRPr="00596B44">
        <w:rPr>
          <w:rFonts w:ascii="Times New Roman" w:hAnsi="Times New Roman" w:cs="Times New Roman"/>
          <w:b/>
          <w:bCs/>
          <w:sz w:val="22"/>
          <w:szCs w:val="22"/>
        </w:rPr>
        <w:t>”</w:t>
      </w:r>
    </w:p>
    <w:p w14:paraId="557EA032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5D47FF1" w14:textId="77777777" w:rsidR="00A30617" w:rsidRPr="00DD16C0" w:rsidRDefault="00A30617" w:rsidP="00A30617">
      <w:pPr>
        <w:pStyle w:val="Akapitzlist"/>
        <w:numPr>
          <w:ilvl w:val="0"/>
          <w:numId w:val="6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Strony potwierdzają, że Wykonawca:</w:t>
      </w:r>
    </w:p>
    <w:p w14:paraId="743D4253" w14:textId="77777777" w:rsidR="00A30617" w:rsidRPr="00DD16C0" w:rsidRDefault="00A30617" w:rsidP="00A30617">
      <w:pPr>
        <w:pStyle w:val="Akapitzlist"/>
        <w:numPr>
          <w:ilvl w:val="1"/>
          <w:numId w:val="7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nie ustala cen energii/gazu dla Zamawiającego,</w:t>
      </w:r>
    </w:p>
    <w:p w14:paraId="6D265B11" w14:textId="77777777" w:rsidR="00A30617" w:rsidRPr="00DD16C0" w:rsidRDefault="00A30617" w:rsidP="00A30617">
      <w:pPr>
        <w:pStyle w:val="Akapitzlist"/>
        <w:numPr>
          <w:ilvl w:val="1"/>
          <w:numId w:val="7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nie dolicza marży w pozycjach energii/gazu/dystrybucji,</w:t>
      </w:r>
    </w:p>
    <w:p w14:paraId="7380912F" w14:textId="77777777" w:rsidR="00A30617" w:rsidRPr="00DD16C0" w:rsidRDefault="00A30617" w:rsidP="00A30617">
      <w:pPr>
        <w:pStyle w:val="Akapitzlist"/>
        <w:numPr>
          <w:ilvl w:val="1"/>
          <w:numId w:val="7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wykonuje wyłącznie usługę zarządzania energią (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EaaS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>), a koszty energii/gazu/dystrybucji są jedynie przenoszone na Zamawiającego w trybie refaktury 1:1.</w:t>
      </w:r>
    </w:p>
    <w:p w14:paraId="264EBB93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57EC7DA" w14:textId="77777777" w:rsidR="00A30617" w:rsidRPr="00DD16C0" w:rsidRDefault="00A30617" w:rsidP="00A30617">
      <w:pPr>
        <w:pStyle w:val="Akapitzlist"/>
        <w:numPr>
          <w:ilvl w:val="0"/>
          <w:numId w:val="6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Strony zgodnie stwierdzają, że model rozliczeń określony niniejszą Klauzulą nie stanowi obrotu energią w rozumieniu przepisów powszechnie obowiązujących.</w:t>
      </w:r>
    </w:p>
    <w:p w14:paraId="5BC5BAAE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B977FCD" w14:textId="77777777" w:rsidR="00A30617" w:rsidRPr="007D0E66" w:rsidRDefault="00A30617" w:rsidP="00A30617">
      <w:pPr>
        <w:spacing w:after="0" w:line="240" w:lineRule="auto"/>
        <w:jc w:val="both"/>
        <w:rPr>
          <w:rFonts w:ascii="Times New Roman" w:hAnsi="Times New Roman"/>
          <w:b/>
          <w:sz w:val="22"/>
        </w:rPr>
      </w:pPr>
      <w:r w:rsidRPr="00596B4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7D0E66">
        <w:rPr>
          <w:rFonts w:ascii="Times New Roman" w:hAnsi="Times New Roman"/>
          <w:b/>
          <w:sz w:val="22"/>
        </w:rPr>
        <w:t>10. WALORYZACJA LIMITU ROCZNEGO ORAZ WYNAGRODZENIA USŁUGOWEGO</w:t>
      </w:r>
    </w:p>
    <w:p w14:paraId="0E0EA61B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30709FC" w14:textId="77777777" w:rsidR="00A30617" w:rsidRPr="00DD16C0" w:rsidRDefault="00A30617" w:rsidP="00A30617">
      <w:pPr>
        <w:pStyle w:val="Akapitzlist"/>
        <w:numPr>
          <w:ilvl w:val="0"/>
          <w:numId w:val="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Definicje dodatkowe. Na potrzeby niniejszego paragrafu:</w:t>
      </w:r>
    </w:p>
    <w:p w14:paraId="201700E2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1) </w:t>
      </w:r>
      <w:r w:rsidRPr="00596B44">
        <w:rPr>
          <w:rFonts w:ascii="Times New Roman" w:hAnsi="Times New Roman" w:cs="Times New Roman"/>
          <w:b/>
          <w:bCs/>
          <w:sz w:val="22"/>
          <w:szCs w:val="22"/>
        </w:rPr>
        <w:t>„(</w:t>
      </w:r>
      <w:r w:rsidRPr="007D0E66">
        <w:rPr>
          <w:rFonts w:ascii="Times New Roman" w:hAnsi="Times New Roman"/>
          <w:b/>
          <w:sz w:val="22"/>
        </w:rPr>
        <w:t>t</w:t>
      </w:r>
      <w:r w:rsidRPr="00596B44">
        <w:rPr>
          <w:rFonts w:ascii="Times New Roman" w:hAnsi="Times New Roman" w:cs="Times New Roman"/>
          <w:b/>
          <w:bCs/>
          <w:sz w:val="22"/>
          <w:szCs w:val="22"/>
        </w:rPr>
        <w:t>)”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numer porządkowy Roku Umownego, gdzie t = 1 oznacza pierwszy pełny Rok Umowny liczony zgodnie z §1 powyżej, t–1 oznacza bezpośrednio poprzedni Rok Umowny itd.;</w:t>
      </w:r>
    </w:p>
    <w:p w14:paraId="2D89AD01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2) </w:t>
      </w:r>
      <w:r w:rsidRPr="00596B44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Pr="007D0E66">
        <w:rPr>
          <w:rFonts w:ascii="Times New Roman" w:hAnsi="Times New Roman"/>
          <w:b/>
          <w:sz w:val="22"/>
        </w:rPr>
        <w:t>CPI_EN(t</w:t>
      </w:r>
      <w:r w:rsidRPr="00596B44">
        <w:rPr>
          <w:rFonts w:ascii="Times New Roman" w:hAnsi="Times New Roman" w:cs="Times New Roman"/>
          <w:b/>
          <w:bCs/>
          <w:sz w:val="22"/>
          <w:szCs w:val="22"/>
        </w:rPr>
        <w:t>)”</w:t>
      </w:r>
      <w:r w:rsidRPr="00DD16C0">
        <w:rPr>
          <w:rFonts w:ascii="Times New Roman" w:hAnsi="Times New Roman" w:cs="Times New Roman"/>
          <w:sz w:val="22"/>
          <w:szCs w:val="22"/>
        </w:rPr>
        <w:t xml:space="preserve"> – średnioroczny wskaźnik cen konsumpcyjnych „nośniki energii” ogłaszany w komunikacie Prezesa GUS w Dzienniku Urzędowym RP „Monitor Polski” za rok kalendarzowy bezpośrednio poprzedzający Rok Umowny (t).</w:t>
      </w:r>
    </w:p>
    <w:p w14:paraId="15BEBD1B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</w:p>
    <w:p w14:paraId="5169820F" w14:textId="77777777" w:rsidR="00A30617" w:rsidRPr="00DD16C0" w:rsidRDefault="00A30617" w:rsidP="00A30617">
      <w:pPr>
        <w:pStyle w:val="Akapitzlist"/>
        <w:numPr>
          <w:ilvl w:val="0"/>
          <w:numId w:val="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Waloryzacji podlega Limit Roczny (CAP). Zmiana CAP jest automatycznie przenoszona na miesięczne alokacje CAPₘ proporcjonalnie do Współczynników Miesięcznych (Wₘ) to jest CAPₘ(t) = CAP(t) × Wₘ(t). Sposób obliczenia Wynagrodzenia Usługowego Fₘ pozostaje zgodny z §3 powyżej.</w:t>
      </w:r>
    </w:p>
    <w:p w14:paraId="57AF5DB4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DAA9D93" w14:textId="77777777" w:rsidR="00A30617" w:rsidRPr="00DD16C0" w:rsidRDefault="00A30617" w:rsidP="00A30617">
      <w:pPr>
        <w:pStyle w:val="Akapitzlist"/>
        <w:numPr>
          <w:ilvl w:val="0"/>
          <w:numId w:val="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Dla każdego Roku Umownego (t) ustala się:</w:t>
      </w:r>
    </w:p>
    <w:p w14:paraId="156C12C8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DD16C0">
        <w:rPr>
          <w:rFonts w:ascii="Times New Roman" w:hAnsi="Times New Roman" w:cs="Times New Roman"/>
          <w:sz w:val="22"/>
          <w:szCs w:val="22"/>
          <w:lang w:val="en-US"/>
        </w:rPr>
        <w:t>CAP(t) = CAP(t–1) × (CPI_EN(t) / CPI_EN(t–1)).</w:t>
      </w:r>
    </w:p>
    <w:p w14:paraId="6E19383A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588F0467" w14:textId="77777777" w:rsidR="00A30617" w:rsidRPr="00DD16C0" w:rsidRDefault="00A30617" w:rsidP="00A30617">
      <w:pPr>
        <w:pStyle w:val="Akapitzlist"/>
        <w:numPr>
          <w:ilvl w:val="0"/>
          <w:numId w:val="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Waloryzacja, o której mowa w ust. 3 powyżej jest stosowana jeżeli (CPI_EN(t) / CPI_EN(t–1) – 1) ≥ 2%. Ustalenie CAP(t) następuje raz w roku, najpóźniej do dnia 31 stycznia danego Roku Umownego, ze skutkiem od 1 stycznia tego roku, przy czym pierwsza waloryzacja może nastąpić zgodnie z ustaleniami Stron w 2028 roku. Wyniki waloryzacji CAP(t) i alokacji CAPₘ(t) zaokrągla się do 2 miejsc po przecinku.</w:t>
      </w:r>
    </w:p>
    <w:p w14:paraId="01A8BCA9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15A5FAF" w14:textId="77777777" w:rsidR="00A30617" w:rsidRPr="00DD16C0" w:rsidRDefault="00A30617" w:rsidP="00A30617">
      <w:pPr>
        <w:pStyle w:val="Akapitzlist"/>
        <w:numPr>
          <w:ilvl w:val="0"/>
          <w:numId w:val="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Zmiana CAP(t) względem CAP(t–1) nie może przekroczyć ±10% w skali jednego Roku Umownego.</w:t>
      </w:r>
    </w:p>
    <w:p w14:paraId="43159092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5807BC" w14:textId="77777777" w:rsidR="00A30617" w:rsidRPr="00DD16C0" w:rsidRDefault="00A30617" w:rsidP="00A30617">
      <w:pPr>
        <w:pStyle w:val="Akapitzlist"/>
        <w:numPr>
          <w:ilvl w:val="0"/>
          <w:numId w:val="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W przypadku braku komunikatu GUS, o którym mowa w ust. 1 pkt 2 powyżej, na dzień waloryzacji, stosuje się ostatnio opublikowany CPI_EN. Po publikacji właściwego wskaźnika wyrównanie następuje w najbliższym Okresie Rozliczeniowym.</w:t>
      </w:r>
    </w:p>
    <w:p w14:paraId="252D70D8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B4ED520" w14:textId="77777777" w:rsidR="00A30617" w:rsidRPr="00DD16C0" w:rsidRDefault="00A30617" w:rsidP="00A30617">
      <w:pPr>
        <w:pStyle w:val="Akapitzlist"/>
        <w:numPr>
          <w:ilvl w:val="0"/>
          <w:numId w:val="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W celu realizacji wymogów art. 439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 xml:space="preserve"> Strony ustalają, że Wynagrodzenie Usługowe (F) ulega zmianie o ten sam procent, w jakim ulega zmianie CAP(t) zgodnie z ust. 3, z zastrzeżeniem:</w:t>
      </w:r>
    </w:p>
    <w:p w14:paraId="7A53117A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1) zmiana F jest stosowana jeżeli (CPI_EN(t) / CPI_EN(t–1) – 1) ≥ 2%;</w:t>
      </w:r>
    </w:p>
    <w:p w14:paraId="5FD261E4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2) początkowym terminem ustalenia zmiany F zgodnie z wolą Zamawiającego jest termin określony w ust. 4 powyżej;</w:t>
      </w:r>
    </w:p>
    <w:p w14:paraId="25024950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3) zmiana F może następować nie częściej niż raz w roku, w terminie zgodnie z ust. 4 powyżej;</w:t>
      </w:r>
    </w:p>
    <w:p w14:paraId="63C3419A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4) łączna zmiana F w danym Roku Umownym nie może przekroczyć ±8% wartości Wynagrodzenia Usługowego należnego za ten rok.</w:t>
      </w:r>
    </w:p>
    <w:p w14:paraId="54B88BFB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DF109F" w14:textId="77777777" w:rsidR="00A30617" w:rsidRPr="00DD16C0" w:rsidRDefault="00A30617" w:rsidP="00A30617">
      <w:pPr>
        <w:pStyle w:val="Akapitzlist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>Zmiana, o której jest mowa w niniejszym ustępie, ma charakter symetryczny, a co za tym idzie dotyczy zarówno wzrostu jak i spadku.</w:t>
      </w:r>
    </w:p>
    <w:p w14:paraId="768D87F0" w14:textId="77777777" w:rsidR="00A30617" w:rsidRPr="00DD16C0" w:rsidRDefault="00A30617" w:rsidP="00A3061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B7DE895" w14:textId="66C76171" w:rsidR="008D421A" w:rsidRPr="00A30617" w:rsidRDefault="00A30617" w:rsidP="00A30617">
      <w:pPr>
        <w:pStyle w:val="Akapitzlist"/>
        <w:numPr>
          <w:ilvl w:val="0"/>
          <w:numId w:val="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D16C0">
        <w:rPr>
          <w:rFonts w:ascii="Times New Roman" w:hAnsi="Times New Roman" w:cs="Times New Roman"/>
          <w:sz w:val="22"/>
          <w:szCs w:val="22"/>
        </w:rPr>
        <w:t xml:space="preserve">Niezależnie od ust. 1–7, jeżeli wystąpią okoliczności, których Zamawiający, działając z należytą starannością, nie mógł przewidzieć, a które istotnie wpływają na koszty należytego wykonania </w:t>
      </w:r>
      <w:r w:rsidRPr="00DD16C0">
        <w:rPr>
          <w:rFonts w:ascii="Times New Roman" w:hAnsi="Times New Roman" w:cs="Times New Roman"/>
          <w:sz w:val="22"/>
          <w:szCs w:val="22"/>
        </w:rPr>
        <w:lastRenderedPageBreak/>
        <w:t xml:space="preserve">usługi, Strona może wystąpić o zmianę Umowy na podstawie art. 455 ust. 1 pkt 4 ustawy </w:t>
      </w:r>
      <w:proofErr w:type="spellStart"/>
      <w:r w:rsidRPr="00DD16C0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DD16C0">
        <w:rPr>
          <w:rFonts w:ascii="Times New Roman" w:hAnsi="Times New Roman" w:cs="Times New Roman"/>
          <w:sz w:val="22"/>
          <w:szCs w:val="22"/>
        </w:rPr>
        <w:t>. Zmiana nie może modyfikować ogólnego charakteru Umowy, a wzrost ceny spowodowany każdą kolejną zmianą nie może przekroczyć 50% wartości pierwotnej Umowy.</w:t>
      </w:r>
    </w:p>
    <w:sectPr w:rsidR="008D421A" w:rsidRPr="00A30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962A6"/>
    <w:multiLevelType w:val="hybridMultilevel"/>
    <w:tmpl w:val="F9CC9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5F97"/>
    <w:multiLevelType w:val="hybridMultilevel"/>
    <w:tmpl w:val="F9CC9C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B5FEC"/>
    <w:multiLevelType w:val="hybridMultilevel"/>
    <w:tmpl w:val="F9CC9C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F582D"/>
    <w:multiLevelType w:val="hybridMultilevel"/>
    <w:tmpl w:val="F9CC9C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4582D"/>
    <w:multiLevelType w:val="hybridMultilevel"/>
    <w:tmpl w:val="F9CC9C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E20F3"/>
    <w:multiLevelType w:val="hybridMultilevel"/>
    <w:tmpl w:val="F9CC9C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96294"/>
    <w:multiLevelType w:val="hybridMultilevel"/>
    <w:tmpl w:val="F9CC9C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35A99"/>
    <w:multiLevelType w:val="hybridMultilevel"/>
    <w:tmpl w:val="F9CC9C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653548">
    <w:abstractNumId w:val="0"/>
  </w:num>
  <w:num w:numId="2" w16cid:durableId="2086146058">
    <w:abstractNumId w:val="4"/>
  </w:num>
  <w:num w:numId="3" w16cid:durableId="41683422">
    <w:abstractNumId w:val="3"/>
  </w:num>
  <w:num w:numId="4" w16cid:durableId="682557577">
    <w:abstractNumId w:val="2"/>
  </w:num>
  <w:num w:numId="5" w16cid:durableId="1617830437">
    <w:abstractNumId w:val="7"/>
  </w:num>
  <w:num w:numId="6" w16cid:durableId="540560769">
    <w:abstractNumId w:val="6"/>
  </w:num>
  <w:num w:numId="7" w16cid:durableId="1661231174">
    <w:abstractNumId w:val="1"/>
  </w:num>
  <w:num w:numId="8" w16cid:durableId="8606280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17"/>
    <w:rsid w:val="00084168"/>
    <w:rsid w:val="000A3A12"/>
    <w:rsid w:val="000D3BEE"/>
    <w:rsid w:val="000D7B66"/>
    <w:rsid w:val="00132B42"/>
    <w:rsid w:val="001359AB"/>
    <w:rsid w:val="00340EB4"/>
    <w:rsid w:val="00477436"/>
    <w:rsid w:val="006071DD"/>
    <w:rsid w:val="007B2BDB"/>
    <w:rsid w:val="007B65AA"/>
    <w:rsid w:val="007E6294"/>
    <w:rsid w:val="008D421A"/>
    <w:rsid w:val="009742CF"/>
    <w:rsid w:val="00A30617"/>
    <w:rsid w:val="00A67D65"/>
    <w:rsid w:val="00BD6245"/>
    <w:rsid w:val="00C0609A"/>
    <w:rsid w:val="00CA4B0A"/>
    <w:rsid w:val="00CD4037"/>
    <w:rsid w:val="00FD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4AEB3"/>
  <w15:chartTrackingRefBased/>
  <w15:docId w15:val="{5A4034C0-1E8A-4B11-B02F-68BF3D99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617"/>
  </w:style>
  <w:style w:type="paragraph" w:styleId="Nagwek1">
    <w:name w:val="heading 1"/>
    <w:basedOn w:val="Normalny"/>
    <w:next w:val="Normalny"/>
    <w:link w:val="Nagwek1Znak"/>
    <w:uiPriority w:val="9"/>
    <w:qFormat/>
    <w:rsid w:val="00A30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0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0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0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0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06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06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06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06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0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0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0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06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06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06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06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06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06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06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0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0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0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0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06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06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06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0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06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0617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60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60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6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60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60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2013</Words>
  <Characters>12082</Characters>
  <Application>Microsoft Office Word</Application>
  <DocSecurity>0</DocSecurity>
  <Lines>100</Lines>
  <Paragraphs>28</Paragraphs>
  <ScaleCrop>false</ScaleCrop>
  <Company/>
  <LinksUpToDate>false</LinksUpToDate>
  <CharactersWithSpaces>14067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Olbrysz</dc:creator>
  <cp:keywords/>
  <dc:description/>
  <cp:lastModifiedBy>KPMG Law</cp:lastModifiedBy>
  <cp:revision>4</cp:revision>
  <dcterms:created xsi:type="dcterms:W3CDTF">2026-01-27T18:08:00Z</dcterms:created>
  <dcterms:modified xsi:type="dcterms:W3CDTF">2026-02-06T14:52:00Z</dcterms:modified>
</cp:coreProperties>
</file>